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A39B" w14:textId="77777777" w:rsidR="0052239C" w:rsidRPr="00D22DCA" w:rsidRDefault="0052239C" w:rsidP="00FE4DEA">
      <w:pPr>
        <w:tabs>
          <w:tab w:val="left" w:pos="990"/>
        </w:tabs>
        <w:rPr>
          <w:rFonts w:ascii="Calibri" w:hAnsi="Calibri" w:cs="Calibri"/>
        </w:rPr>
      </w:pPr>
    </w:p>
    <w:p w14:paraId="3BD1A983" w14:textId="28B4003C" w:rsidR="00735486" w:rsidRPr="00D22DCA" w:rsidRDefault="002C73D1" w:rsidP="00FE4DEA">
      <w:pPr>
        <w:tabs>
          <w:tab w:val="left" w:pos="990"/>
        </w:tabs>
        <w:rPr>
          <w:rFonts w:ascii="Calibri" w:hAnsi="Calibri" w:cs="Calibri"/>
        </w:rPr>
      </w:pPr>
      <w:r w:rsidRPr="00D22DCA">
        <w:rPr>
          <w:rFonts w:ascii="Calibri" w:hAnsi="Calibri" w:cs="Calibri"/>
        </w:rPr>
        <w:t>March 2</w:t>
      </w:r>
      <w:r w:rsidR="009A2511">
        <w:rPr>
          <w:rFonts w:ascii="Calibri" w:hAnsi="Calibri" w:cs="Calibri"/>
        </w:rPr>
        <w:t>4</w:t>
      </w:r>
      <w:r w:rsidR="00E45B8A" w:rsidRPr="00D22DCA">
        <w:rPr>
          <w:rFonts w:ascii="Calibri" w:hAnsi="Calibri" w:cs="Calibri"/>
        </w:rPr>
        <w:t>, 202</w:t>
      </w:r>
      <w:r w:rsidRPr="00D22DCA">
        <w:rPr>
          <w:rFonts w:ascii="Calibri" w:hAnsi="Calibri" w:cs="Calibri"/>
        </w:rPr>
        <w:t>2</w:t>
      </w:r>
    </w:p>
    <w:p w14:paraId="6E17ECCE" w14:textId="77777777" w:rsidR="00B93BF2" w:rsidRPr="00D22DCA" w:rsidRDefault="00B93BF2" w:rsidP="00FE4DEA">
      <w:pPr>
        <w:tabs>
          <w:tab w:val="left" w:pos="990"/>
        </w:tabs>
        <w:rPr>
          <w:rFonts w:ascii="Calibri" w:hAnsi="Calibri" w:cs="Calibri"/>
        </w:rPr>
      </w:pPr>
    </w:p>
    <w:p w14:paraId="75BEAD1C" w14:textId="08EB9A23" w:rsidR="00E45B8A" w:rsidRPr="00D22DCA" w:rsidRDefault="001656BF" w:rsidP="00E45B8A">
      <w:pPr>
        <w:rPr>
          <w:rFonts w:ascii="Calibri" w:hAnsi="Calibri" w:cs="Calibri"/>
          <w:b/>
          <w:color w:val="222222"/>
          <w:shd w:val="clear" w:color="auto" w:fill="FFFFFF"/>
        </w:rPr>
      </w:pPr>
      <w:r w:rsidRPr="00D22DCA">
        <w:rPr>
          <w:rFonts w:ascii="Calibri" w:hAnsi="Calibri" w:cs="Calibri"/>
          <w:b/>
        </w:rPr>
        <w:t xml:space="preserve">Re: </w:t>
      </w:r>
      <w:r w:rsidRPr="00D22DCA">
        <w:rPr>
          <w:rFonts w:ascii="Calibri" w:hAnsi="Calibri" w:cs="Calibri"/>
          <w:b/>
          <w:color w:val="222222"/>
          <w:shd w:val="clear" w:color="auto" w:fill="FFFFFF"/>
        </w:rPr>
        <w:t xml:space="preserve">Manuscript ID </w:t>
      </w:r>
      <w:r w:rsidR="002C73D1" w:rsidRPr="00D22DCA">
        <w:rPr>
          <w:rFonts w:ascii="Calibri" w:hAnsi="Calibri" w:cs="Calibri"/>
          <w:b/>
          <w:color w:val="222222"/>
          <w:shd w:val="clear" w:color="auto" w:fill="FFFFFF"/>
        </w:rPr>
        <w:t>GASTRO-D-21-02925</w:t>
      </w:r>
    </w:p>
    <w:p w14:paraId="224B2656" w14:textId="77777777" w:rsidR="00DF6CB6" w:rsidRPr="00D22DCA" w:rsidRDefault="00DF6CB6" w:rsidP="00CB0824">
      <w:pPr>
        <w:tabs>
          <w:tab w:val="left" w:pos="990"/>
        </w:tabs>
        <w:rPr>
          <w:rFonts w:ascii="Calibri" w:hAnsi="Calibri" w:cs="Calibri"/>
        </w:rPr>
      </w:pPr>
    </w:p>
    <w:p w14:paraId="02988F14" w14:textId="3D55689C" w:rsidR="00B6206F" w:rsidRPr="00D22DCA" w:rsidRDefault="00E96C9E" w:rsidP="00FE4DEA">
      <w:pPr>
        <w:tabs>
          <w:tab w:val="left" w:pos="990"/>
        </w:tabs>
        <w:rPr>
          <w:rFonts w:ascii="Calibri" w:hAnsi="Calibri" w:cs="Calibri"/>
        </w:rPr>
      </w:pPr>
      <w:r w:rsidRPr="00D22DCA">
        <w:rPr>
          <w:rFonts w:ascii="Calibri" w:hAnsi="Calibri" w:cs="Calibri"/>
        </w:rPr>
        <w:t xml:space="preserve">Dear </w:t>
      </w:r>
      <w:proofErr w:type="gramStart"/>
      <w:r w:rsidRPr="00D22DCA">
        <w:rPr>
          <w:rFonts w:ascii="Calibri" w:hAnsi="Calibri" w:cs="Calibri"/>
        </w:rPr>
        <w:t>Dr</w:t>
      </w:r>
      <w:r w:rsidR="002C73D1" w:rsidRPr="00D22DCA">
        <w:rPr>
          <w:rFonts w:ascii="Calibri" w:hAnsi="Calibri" w:cs="Calibri"/>
        </w:rPr>
        <w:t>s</w:t>
      </w:r>
      <w:r w:rsidR="00262D58" w:rsidRPr="00D22DCA">
        <w:rPr>
          <w:rFonts w:ascii="Calibri" w:hAnsi="Calibri" w:cs="Calibri"/>
        </w:rPr>
        <w:t>.</w:t>
      </w:r>
      <w:proofErr w:type="gramEnd"/>
      <w:r w:rsidR="002C73D1" w:rsidRPr="00D22DCA">
        <w:rPr>
          <w:rFonts w:ascii="Calibri" w:hAnsi="Calibri" w:cs="Calibri"/>
        </w:rPr>
        <w:t xml:space="preserve"> </w:t>
      </w:r>
      <w:proofErr w:type="spellStart"/>
      <w:r w:rsidR="002C73D1" w:rsidRPr="00D22DCA">
        <w:rPr>
          <w:rFonts w:ascii="Calibri" w:hAnsi="Calibri" w:cs="Calibri"/>
        </w:rPr>
        <w:t>Vaezi</w:t>
      </w:r>
      <w:proofErr w:type="spellEnd"/>
      <w:r w:rsidR="002C73D1" w:rsidRPr="00D22DCA">
        <w:rPr>
          <w:rFonts w:ascii="Calibri" w:hAnsi="Calibri" w:cs="Calibri"/>
        </w:rPr>
        <w:t>, Peek, and Corley</w:t>
      </w:r>
      <w:r w:rsidR="009F1D67" w:rsidRPr="00D22DCA">
        <w:rPr>
          <w:rFonts w:ascii="Calibri" w:hAnsi="Calibri" w:cs="Calibri"/>
        </w:rPr>
        <w:t>:</w:t>
      </w:r>
    </w:p>
    <w:p w14:paraId="5E0725AE" w14:textId="77777777" w:rsidR="00EB56FD" w:rsidRPr="00D22DCA" w:rsidRDefault="00EB56FD" w:rsidP="00C600FF">
      <w:pPr>
        <w:rPr>
          <w:rFonts w:ascii="Calibri" w:hAnsi="Calibri" w:cs="Calibri"/>
        </w:rPr>
      </w:pPr>
    </w:p>
    <w:p w14:paraId="31B5AB5D" w14:textId="78C14D23" w:rsidR="00C600FF" w:rsidRPr="00D22DCA" w:rsidRDefault="00C600FF" w:rsidP="00C600FF">
      <w:pPr>
        <w:rPr>
          <w:rFonts w:ascii="Calibri" w:hAnsi="Calibri" w:cs="Calibri"/>
          <w:b/>
        </w:rPr>
      </w:pPr>
      <w:r w:rsidRPr="00D22DCA">
        <w:rPr>
          <w:rFonts w:ascii="Calibri" w:hAnsi="Calibri" w:cs="Calibri"/>
        </w:rPr>
        <w:t xml:space="preserve">Thank you to your staff and the reviewers for a critical review of our manuscript. </w:t>
      </w:r>
      <w:r w:rsidR="00E760CF" w:rsidRPr="00D22DCA">
        <w:rPr>
          <w:rFonts w:ascii="Calibri" w:hAnsi="Calibri" w:cs="Calibri"/>
        </w:rPr>
        <w:t>We sincerely appreciate the constructive fee</w:t>
      </w:r>
      <w:r w:rsidR="00F76308" w:rsidRPr="00D22DCA">
        <w:rPr>
          <w:rFonts w:ascii="Calibri" w:hAnsi="Calibri" w:cs="Calibri"/>
        </w:rPr>
        <w:t>dback to help improve our study</w:t>
      </w:r>
      <w:r w:rsidRPr="00D22DCA">
        <w:rPr>
          <w:rFonts w:ascii="Calibri" w:hAnsi="Calibri" w:cs="Calibri"/>
        </w:rPr>
        <w:t>:</w:t>
      </w:r>
      <w:r w:rsidR="004069A1" w:rsidRPr="00D22DCA">
        <w:rPr>
          <w:rFonts w:ascii="Calibri" w:hAnsi="Calibri" w:cs="Calibri"/>
          <w:color w:val="000000"/>
          <w:shd w:val="clear" w:color="auto" w:fill="FFFFFF"/>
        </w:rPr>
        <w:t xml:space="preserve"> </w:t>
      </w:r>
      <w:r w:rsidR="002C73D1" w:rsidRPr="00D22DCA">
        <w:rPr>
          <w:rFonts w:ascii="Calibri" w:hAnsi="Calibri" w:cs="Calibri"/>
          <w:b/>
        </w:rPr>
        <w:t>The Association between Proton Pump Inhibitor Exposure and Key Liver-Related Outcomes in Patients with Cirrhosis: A Veterans Affairs Cohort Study</w:t>
      </w:r>
      <w:r w:rsidRPr="00D22DCA">
        <w:rPr>
          <w:rFonts w:ascii="Calibri" w:hAnsi="Calibri" w:cs="Calibri"/>
          <w:b/>
        </w:rPr>
        <w:t xml:space="preserve">. </w:t>
      </w:r>
      <w:r w:rsidR="00B12580" w:rsidRPr="00D22DCA">
        <w:rPr>
          <w:rFonts w:ascii="Calibri" w:hAnsi="Calibri" w:cs="Calibri"/>
        </w:rPr>
        <w:t>We</w:t>
      </w:r>
      <w:r w:rsidR="00B12580" w:rsidRPr="00D22DCA">
        <w:rPr>
          <w:rFonts w:ascii="Calibri" w:hAnsi="Calibri" w:cs="Calibri"/>
          <w:b/>
        </w:rPr>
        <w:t xml:space="preserve"> </w:t>
      </w:r>
      <w:r w:rsidR="00682057" w:rsidRPr="00D22DCA">
        <w:rPr>
          <w:rFonts w:ascii="Calibri" w:hAnsi="Calibri" w:cs="Calibri"/>
        </w:rPr>
        <w:t xml:space="preserve">have </w:t>
      </w:r>
      <w:r w:rsidR="00446A4B" w:rsidRPr="00D22DCA">
        <w:rPr>
          <w:rFonts w:ascii="Calibri" w:hAnsi="Calibri" w:cs="Calibri"/>
        </w:rPr>
        <w:t xml:space="preserve">done our best to address the </w:t>
      </w:r>
      <w:r w:rsidR="00682057" w:rsidRPr="00D22DCA">
        <w:rPr>
          <w:rFonts w:ascii="Calibri" w:hAnsi="Calibri" w:cs="Calibri"/>
        </w:rPr>
        <w:t xml:space="preserve">reviewer </w:t>
      </w:r>
      <w:r w:rsidRPr="00D22DCA">
        <w:rPr>
          <w:rFonts w:ascii="Calibri" w:hAnsi="Calibri" w:cs="Calibri"/>
        </w:rPr>
        <w:t>comments</w:t>
      </w:r>
      <w:r w:rsidR="00742B96" w:rsidRPr="00D22DCA">
        <w:rPr>
          <w:rFonts w:ascii="Calibri" w:hAnsi="Calibri" w:cs="Calibri"/>
        </w:rPr>
        <w:t xml:space="preserve"> </w:t>
      </w:r>
      <w:r w:rsidR="00682057" w:rsidRPr="00D22DCA">
        <w:rPr>
          <w:rFonts w:ascii="Calibri" w:hAnsi="Calibri" w:cs="Calibri"/>
        </w:rPr>
        <w:t xml:space="preserve">and have </w:t>
      </w:r>
      <w:r w:rsidR="00742B96" w:rsidRPr="00D22DCA">
        <w:rPr>
          <w:rFonts w:ascii="Calibri" w:hAnsi="Calibri" w:cs="Calibri"/>
        </w:rPr>
        <w:t>incorporate</w:t>
      </w:r>
      <w:r w:rsidR="00682057" w:rsidRPr="00D22DCA">
        <w:rPr>
          <w:rFonts w:ascii="Calibri" w:hAnsi="Calibri" w:cs="Calibri"/>
        </w:rPr>
        <w:t>d</w:t>
      </w:r>
      <w:r w:rsidR="00742B96" w:rsidRPr="00D22DCA">
        <w:rPr>
          <w:rFonts w:ascii="Calibri" w:hAnsi="Calibri" w:cs="Calibri"/>
        </w:rPr>
        <w:t xml:space="preserve"> changes</w:t>
      </w:r>
      <w:r w:rsidR="004E40AB" w:rsidRPr="00D22DCA">
        <w:rPr>
          <w:rFonts w:ascii="Calibri" w:hAnsi="Calibri" w:cs="Calibri"/>
        </w:rPr>
        <w:t xml:space="preserve"> in</w:t>
      </w:r>
      <w:r w:rsidR="00BD65D2" w:rsidRPr="00D22DCA">
        <w:rPr>
          <w:rFonts w:ascii="Calibri" w:hAnsi="Calibri" w:cs="Calibri"/>
        </w:rPr>
        <w:t>to</w:t>
      </w:r>
      <w:r w:rsidR="004E40AB" w:rsidRPr="00D22DCA">
        <w:rPr>
          <w:rFonts w:ascii="Calibri" w:hAnsi="Calibri" w:cs="Calibri"/>
        </w:rPr>
        <w:t xml:space="preserve"> a </w:t>
      </w:r>
      <w:r w:rsidR="000B09C6" w:rsidRPr="00D22DCA">
        <w:rPr>
          <w:rFonts w:ascii="Calibri" w:hAnsi="Calibri" w:cs="Calibri"/>
        </w:rPr>
        <w:t xml:space="preserve">substantially </w:t>
      </w:r>
      <w:r w:rsidR="004E40AB" w:rsidRPr="00D95FDC">
        <w:rPr>
          <w:rFonts w:ascii="Calibri" w:hAnsi="Calibri" w:cs="Calibri"/>
        </w:rPr>
        <w:t>revised manuscript</w:t>
      </w:r>
      <w:r w:rsidR="00E56923" w:rsidRPr="00D95FDC">
        <w:rPr>
          <w:rFonts w:ascii="Calibri" w:hAnsi="Calibri" w:cs="Calibri"/>
        </w:rPr>
        <w:t xml:space="preserve">, which we have </w:t>
      </w:r>
      <w:r w:rsidR="004E40AB" w:rsidRPr="00D95FDC">
        <w:rPr>
          <w:rFonts w:ascii="Calibri" w:hAnsi="Calibri" w:cs="Calibri"/>
        </w:rPr>
        <w:t>uploaded</w:t>
      </w:r>
      <w:r w:rsidR="002D392E" w:rsidRPr="00D95FDC">
        <w:rPr>
          <w:rFonts w:ascii="Calibri" w:hAnsi="Calibri" w:cs="Calibri"/>
        </w:rPr>
        <w:t xml:space="preserve"> along with this point-by-point response</w:t>
      </w:r>
      <w:r w:rsidR="00A60951" w:rsidRPr="00D95FDC">
        <w:rPr>
          <w:rFonts w:ascii="Calibri" w:hAnsi="Calibri" w:cs="Calibri"/>
        </w:rPr>
        <w:t>.</w:t>
      </w:r>
      <w:r w:rsidR="00CC61E5" w:rsidRPr="00D95FDC">
        <w:rPr>
          <w:rFonts w:ascii="Calibri" w:hAnsi="Calibri" w:cs="Calibri"/>
        </w:rPr>
        <w:t xml:space="preserve"> </w:t>
      </w:r>
      <w:r w:rsidR="00682057" w:rsidRPr="00D95FDC">
        <w:rPr>
          <w:rFonts w:ascii="Calibri" w:hAnsi="Calibri" w:cs="Calibri"/>
        </w:rPr>
        <w:t xml:space="preserve">We hope that you now </w:t>
      </w:r>
      <w:r w:rsidR="00414A96" w:rsidRPr="00D95FDC">
        <w:rPr>
          <w:rFonts w:ascii="Calibri" w:hAnsi="Calibri" w:cs="Calibri"/>
        </w:rPr>
        <w:t>find this work</w:t>
      </w:r>
      <w:r w:rsidR="00682057" w:rsidRPr="00D95FDC">
        <w:rPr>
          <w:rFonts w:ascii="Calibri" w:hAnsi="Calibri" w:cs="Calibri"/>
        </w:rPr>
        <w:t xml:space="preserve"> suitable for publication in </w:t>
      </w:r>
      <w:r w:rsidR="002C73D1" w:rsidRPr="00D95FDC">
        <w:rPr>
          <w:rFonts w:ascii="Calibri" w:hAnsi="Calibri" w:cs="Calibri"/>
          <w:i/>
        </w:rPr>
        <w:t>Gastroenterology</w:t>
      </w:r>
      <w:r w:rsidR="00682057" w:rsidRPr="00D95FDC">
        <w:rPr>
          <w:rFonts w:ascii="Calibri" w:hAnsi="Calibri" w:cs="Calibri"/>
        </w:rPr>
        <w:t>, as we believe this repr</w:t>
      </w:r>
      <w:r w:rsidR="00682057" w:rsidRPr="00D95FDC">
        <w:rPr>
          <w:rFonts w:ascii="Calibri" w:hAnsi="Calibri" w:cs="Calibri"/>
          <w:color w:val="000000" w:themeColor="text1"/>
        </w:rPr>
        <w:t xml:space="preserve">esents important work to </w:t>
      </w:r>
      <w:r w:rsidR="00E56923" w:rsidRPr="00D95FDC">
        <w:rPr>
          <w:rFonts w:ascii="Calibri" w:hAnsi="Calibri" w:cs="Calibri"/>
          <w:color w:val="000000" w:themeColor="text1"/>
        </w:rPr>
        <w:t xml:space="preserve">elucidate the potential impact of </w:t>
      </w:r>
      <w:r w:rsidR="00D95FDC" w:rsidRPr="00D95FDC">
        <w:rPr>
          <w:rFonts w:ascii="Calibri" w:hAnsi="Calibri" w:cs="Calibri"/>
          <w:color w:val="000000" w:themeColor="text1"/>
        </w:rPr>
        <w:t>proton pump inhibitors on adverse outcomes in patients with cirrhosis</w:t>
      </w:r>
      <w:r w:rsidR="00E56923" w:rsidRPr="00D95FDC">
        <w:rPr>
          <w:rFonts w:ascii="Calibri" w:hAnsi="Calibri" w:cs="Calibri"/>
          <w:color w:val="000000" w:themeColor="text1"/>
        </w:rPr>
        <w:t>.</w:t>
      </w:r>
      <w:r w:rsidR="00E56923" w:rsidRPr="00D22DCA">
        <w:rPr>
          <w:rFonts w:ascii="Calibri" w:hAnsi="Calibri" w:cs="Calibri"/>
          <w:color w:val="000000" w:themeColor="text1"/>
        </w:rPr>
        <w:t xml:space="preserve"> </w:t>
      </w:r>
    </w:p>
    <w:p w14:paraId="79BFC9AC" w14:textId="77777777" w:rsidR="00CC61E5" w:rsidRPr="00D22DCA" w:rsidRDefault="00CC61E5" w:rsidP="00C600FF">
      <w:pPr>
        <w:rPr>
          <w:rFonts w:ascii="Calibri" w:hAnsi="Calibri" w:cs="Calibri"/>
        </w:rPr>
      </w:pPr>
    </w:p>
    <w:p w14:paraId="602D8A29" w14:textId="36424143" w:rsidR="00CC61E5" w:rsidRPr="00D22DCA" w:rsidRDefault="00CC61E5" w:rsidP="00C600FF">
      <w:pPr>
        <w:rPr>
          <w:rFonts w:ascii="Calibri" w:hAnsi="Calibri" w:cs="Calibri"/>
        </w:rPr>
      </w:pPr>
      <w:r w:rsidRPr="00D22DCA">
        <w:rPr>
          <w:rFonts w:ascii="Calibri" w:hAnsi="Calibri" w:cs="Calibri"/>
        </w:rPr>
        <w:t>Thank you again for your consideration and please do not hesitate to contact us with questions.</w:t>
      </w:r>
    </w:p>
    <w:p w14:paraId="6BA4E6FD" w14:textId="77777777" w:rsidR="00CC61E5" w:rsidRPr="00D22DCA" w:rsidRDefault="00CC61E5" w:rsidP="00C600FF">
      <w:pPr>
        <w:rPr>
          <w:rFonts w:ascii="Calibri" w:hAnsi="Calibri" w:cs="Calibri"/>
        </w:rPr>
      </w:pPr>
    </w:p>
    <w:p w14:paraId="303E745E" w14:textId="14B27097" w:rsidR="00CC61E5" w:rsidRPr="00D22DCA" w:rsidRDefault="00CC61E5" w:rsidP="00C600FF">
      <w:pPr>
        <w:rPr>
          <w:rFonts w:ascii="Calibri" w:hAnsi="Calibri" w:cs="Calibri"/>
          <w:b/>
        </w:rPr>
      </w:pPr>
      <w:r w:rsidRPr="00D22DCA">
        <w:rPr>
          <w:rFonts w:ascii="Calibri" w:hAnsi="Calibri" w:cs="Calibri"/>
        </w:rPr>
        <w:t>Sincerely,</w:t>
      </w:r>
    </w:p>
    <w:p w14:paraId="22B13050" w14:textId="6EEC675C" w:rsidR="002C73D1" w:rsidRDefault="00A5163D" w:rsidP="00354368">
      <w:pPr>
        <w:tabs>
          <w:tab w:val="left" w:pos="990"/>
        </w:tabs>
        <w:rPr>
          <w:rFonts w:ascii="Calibri" w:hAnsi="Calibri" w:cs="Calibri"/>
          <w:color w:val="000000" w:themeColor="text1"/>
        </w:rPr>
      </w:pPr>
      <w:r w:rsidRPr="00DB74DD">
        <w:rPr>
          <w:rFonts w:ascii="Calibri" w:hAnsi="Calibri" w:cs="Calibri"/>
          <w:noProof/>
          <w:sz w:val="22"/>
          <w:szCs w:val="22"/>
        </w:rPr>
        <w:drawing>
          <wp:anchor distT="0" distB="0" distL="114300" distR="114300" simplePos="0" relativeHeight="251659264" behindDoc="1" locked="0" layoutInCell="1" allowOverlap="1" wp14:anchorId="0A3CBD49" wp14:editId="64F4CE2F">
            <wp:simplePos x="0" y="0"/>
            <wp:positionH relativeFrom="column">
              <wp:posOffset>0</wp:posOffset>
            </wp:positionH>
            <wp:positionV relativeFrom="paragraph">
              <wp:posOffset>70647</wp:posOffset>
            </wp:positionV>
            <wp:extent cx="1757045" cy="713740"/>
            <wp:effectExtent l="0" t="0" r="0" b="0"/>
            <wp:wrapNone/>
            <wp:docPr id="4" name="Picture 4" descr="2-20-12 12-49-19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12 12-49-19 P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7045"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6BF5B9" w14:textId="72602EB2" w:rsidR="00A5163D" w:rsidRDefault="00A5163D" w:rsidP="00354368">
      <w:pPr>
        <w:tabs>
          <w:tab w:val="left" w:pos="990"/>
        </w:tabs>
        <w:rPr>
          <w:rFonts w:ascii="Calibri" w:hAnsi="Calibri" w:cs="Calibri"/>
          <w:color w:val="000000" w:themeColor="text1"/>
        </w:rPr>
      </w:pPr>
    </w:p>
    <w:p w14:paraId="2409EB38" w14:textId="14D46A63" w:rsidR="00A5163D" w:rsidRDefault="00A5163D" w:rsidP="00354368">
      <w:pPr>
        <w:tabs>
          <w:tab w:val="left" w:pos="990"/>
        </w:tabs>
        <w:rPr>
          <w:rFonts w:ascii="Calibri" w:hAnsi="Calibri" w:cs="Calibri"/>
          <w:color w:val="000000" w:themeColor="text1"/>
        </w:rPr>
      </w:pPr>
    </w:p>
    <w:p w14:paraId="34021CC0" w14:textId="77777777" w:rsidR="007122A4" w:rsidRPr="00D22DCA" w:rsidRDefault="007122A4" w:rsidP="00354368">
      <w:pPr>
        <w:tabs>
          <w:tab w:val="left" w:pos="990"/>
        </w:tabs>
        <w:rPr>
          <w:rFonts w:ascii="Calibri" w:hAnsi="Calibri" w:cs="Calibri"/>
          <w:color w:val="000000" w:themeColor="text1"/>
        </w:rPr>
      </w:pPr>
    </w:p>
    <w:p w14:paraId="2051ED75" w14:textId="109AEE35" w:rsidR="00354368" w:rsidRPr="00D22DCA" w:rsidRDefault="00354368" w:rsidP="00354368">
      <w:pPr>
        <w:tabs>
          <w:tab w:val="left" w:pos="990"/>
        </w:tabs>
        <w:rPr>
          <w:rFonts w:ascii="Calibri" w:hAnsi="Calibri" w:cs="Calibri"/>
          <w:color w:val="000000" w:themeColor="text1"/>
        </w:rPr>
      </w:pPr>
      <w:r w:rsidRPr="00D22DCA">
        <w:rPr>
          <w:rFonts w:ascii="Calibri" w:hAnsi="Calibri" w:cs="Calibri"/>
          <w:color w:val="000000" w:themeColor="text1"/>
        </w:rPr>
        <w:t>Nadim Mahmud, MD MS MPH MSCE (</w:t>
      </w:r>
      <w:r w:rsidRPr="00D22DCA">
        <w:rPr>
          <w:rFonts w:ascii="Calibri" w:hAnsi="Calibri" w:cs="Calibri"/>
          <w:b/>
          <w:color w:val="000000" w:themeColor="text1"/>
        </w:rPr>
        <w:t>corresponding</w:t>
      </w:r>
      <w:r w:rsidRPr="00D22DCA">
        <w:rPr>
          <w:rFonts w:ascii="Calibri" w:hAnsi="Calibri" w:cs="Calibri"/>
          <w:color w:val="000000" w:themeColor="text1"/>
        </w:rPr>
        <w:t>)</w:t>
      </w:r>
    </w:p>
    <w:p w14:paraId="020F56C8" w14:textId="77777777" w:rsidR="00354368" w:rsidRPr="00D22DCA" w:rsidRDefault="00354368" w:rsidP="00354368">
      <w:pPr>
        <w:tabs>
          <w:tab w:val="left" w:pos="990"/>
        </w:tabs>
        <w:rPr>
          <w:rFonts w:ascii="Calibri" w:hAnsi="Calibri" w:cs="Calibri"/>
          <w:color w:val="000000" w:themeColor="text1"/>
        </w:rPr>
      </w:pPr>
      <w:r w:rsidRPr="00D22DCA">
        <w:rPr>
          <w:rFonts w:ascii="Calibri" w:hAnsi="Calibri" w:cs="Calibri"/>
          <w:color w:val="000000" w:themeColor="text1"/>
        </w:rPr>
        <w:t>Division of Gastroenterology, University of Pennsylvania</w:t>
      </w:r>
    </w:p>
    <w:p w14:paraId="2180EFC1" w14:textId="77777777" w:rsidR="00354368" w:rsidRPr="00D22DCA" w:rsidRDefault="00354368" w:rsidP="00354368">
      <w:pPr>
        <w:tabs>
          <w:tab w:val="left" w:pos="990"/>
        </w:tabs>
        <w:rPr>
          <w:rFonts w:ascii="Calibri" w:hAnsi="Calibri" w:cs="Calibri"/>
          <w:color w:val="000000" w:themeColor="text1"/>
        </w:rPr>
      </w:pPr>
      <w:r w:rsidRPr="00D22DCA">
        <w:rPr>
          <w:rFonts w:ascii="Calibri" w:hAnsi="Calibri" w:cs="Calibri"/>
          <w:color w:val="000000" w:themeColor="text1"/>
        </w:rPr>
        <w:t>3400 Civic Center Blvd, Philadelphia, PA 19104</w:t>
      </w:r>
    </w:p>
    <w:p w14:paraId="75C58F1F" w14:textId="7903FD2B" w:rsidR="00E56923" w:rsidRPr="00D22DCA" w:rsidRDefault="00354368" w:rsidP="00354368">
      <w:pPr>
        <w:tabs>
          <w:tab w:val="left" w:pos="990"/>
        </w:tabs>
        <w:rPr>
          <w:rFonts w:ascii="Calibri" w:hAnsi="Calibri" w:cs="Calibri"/>
          <w:color w:val="000000" w:themeColor="text1"/>
        </w:rPr>
      </w:pPr>
      <w:r w:rsidRPr="00D22DCA">
        <w:rPr>
          <w:rFonts w:ascii="Calibri" w:hAnsi="Calibri" w:cs="Calibri"/>
          <w:color w:val="000000" w:themeColor="text1"/>
        </w:rPr>
        <w:t xml:space="preserve">Email: </w:t>
      </w:r>
      <w:hyperlink r:id="rId9" w:history="1">
        <w:r w:rsidR="00E56923" w:rsidRPr="00D22DCA">
          <w:rPr>
            <w:rStyle w:val="Hyperlink"/>
            <w:rFonts w:ascii="Calibri" w:hAnsi="Calibri" w:cs="Calibri"/>
          </w:rPr>
          <w:t>nadim@pennmedicine.upenn.edu</w:t>
        </w:r>
      </w:hyperlink>
    </w:p>
    <w:p w14:paraId="78E6985E" w14:textId="77777777" w:rsidR="00354368" w:rsidRPr="00D22DCA" w:rsidRDefault="00354368" w:rsidP="00354368">
      <w:pPr>
        <w:tabs>
          <w:tab w:val="left" w:pos="990"/>
        </w:tabs>
        <w:rPr>
          <w:rFonts w:ascii="Calibri" w:hAnsi="Calibri" w:cs="Calibri"/>
          <w:color w:val="000000" w:themeColor="text1"/>
        </w:rPr>
      </w:pPr>
      <w:r w:rsidRPr="00D22DCA">
        <w:rPr>
          <w:rFonts w:ascii="Calibri" w:hAnsi="Calibri" w:cs="Calibri"/>
          <w:color w:val="000000" w:themeColor="text1"/>
        </w:rPr>
        <w:t>Telephone: +1-215-349-8222</w:t>
      </w:r>
    </w:p>
    <w:p w14:paraId="48524A41" w14:textId="3CF89D3D" w:rsidR="00CC61E5" w:rsidRPr="00D22DCA" w:rsidRDefault="0067444A" w:rsidP="00942A6F">
      <w:pPr>
        <w:tabs>
          <w:tab w:val="left" w:pos="5220"/>
        </w:tabs>
        <w:rPr>
          <w:rFonts w:ascii="Calibri" w:hAnsi="Calibri" w:cs="Calibri"/>
        </w:rPr>
      </w:pPr>
      <w:r w:rsidRPr="00D22DCA">
        <w:rPr>
          <w:rFonts w:ascii="Calibri" w:hAnsi="Calibri" w:cs="Calibri"/>
        </w:rPr>
        <w:tab/>
      </w:r>
    </w:p>
    <w:p w14:paraId="28FAF916" w14:textId="461120B7" w:rsidR="00CC61E5" w:rsidRPr="00D22DCA" w:rsidRDefault="00CC61E5" w:rsidP="00DF6CB6">
      <w:pPr>
        <w:tabs>
          <w:tab w:val="left" w:pos="990"/>
        </w:tabs>
        <w:rPr>
          <w:rFonts w:ascii="Calibri" w:hAnsi="Calibri" w:cs="Calibri"/>
        </w:rPr>
      </w:pPr>
    </w:p>
    <w:p w14:paraId="67A0744C" w14:textId="77777777" w:rsidR="000679A0" w:rsidRPr="00D22DCA" w:rsidRDefault="000679A0" w:rsidP="00CB0824">
      <w:pPr>
        <w:tabs>
          <w:tab w:val="left" w:pos="990"/>
        </w:tabs>
        <w:rPr>
          <w:rFonts w:ascii="Calibri" w:hAnsi="Calibri" w:cs="Calibri"/>
          <w:u w:val="single"/>
        </w:rPr>
      </w:pPr>
    </w:p>
    <w:p w14:paraId="51D9D323" w14:textId="77777777" w:rsidR="00F81749" w:rsidRPr="00D22DCA" w:rsidRDefault="00F81749">
      <w:pPr>
        <w:rPr>
          <w:rFonts w:ascii="Calibri" w:hAnsi="Calibri" w:cs="Calibri"/>
          <w:u w:val="single"/>
        </w:rPr>
      </w:pPr>
      <w:r w:rsidRPr="00D22DCA">
        <w:rPr>
          <w:rFonts w:ascii="Calibri" w:hAnsi="Calibri" w:cs="Calibri"/>
          <w:u w:val="single"/>
        </w:rPr>
        <w:br w:type="page"/>
      </w:r>
    </w:p>
    <w:p w14:paraId="263411DC" w14:textId="0757E431" w:rsidR="0053018E" w:rsidRPr="00D22DCA" w:rsidRDefault="004C0437" w:rsidP="00CB0824">
      <w:pPr>
        <w:tabs>
          <w:tab w:val="left" w:pos="990"/>
        </w:tabs>
        <w:rPr>
          <w:rFonts w:ascii="Calibri" w:hAnsi="Calibri" w:cs="Calibri"/>
          <w:u w:val="single"/>
        </w:rPr>
      </w:pPr>
      <w:r w:rsidRPr="00D22DCA">
        <w:rPr>
          <w:rFonts w:ascii="Calibri" w:hAnsi="Calibri" w:cs="Calibri"/>
          <w:u w:val="single"/>
        </w:rPr>
        <w:lastRenderedPageBreak/>
        <w:t xml:space="preserve">Responses to </w:t>
      </w:r>
      <w:r w:rsidR="00530F14" w:rsidRPr="00D22DCA">
        <w:rPr>
          <w:rFonts w:ascii="Calibri" w:hAnsi="Calibri" w:cs="Calibri"/>
          <w:u w:val="single"/>
        </w:rPr>
        <w:t xml:space="preserve">Editor and </w:t>
      </w:r>
      <w:r w:rsidR="003857B2" w:rsidRPr="00D22DCA">
        <w:rPr>
          <w:rFonts w:ascii="Calibri" w:hAnsi="Calibri" w:cs="Calibri"/>
          <w:u w:val="single"/>
        </w:rPr>
        <w:t xml:space="preserve">Reviewer </w:t>
      </w:r>
      <w:r w:rsidRPr="00D22DCA">
        <w:rPr>
          <w:rFonts w:ascii="Calibri" w:hAnsi="Calibri" w:cs="Calibri"/>
          <w:u w:val="single"/>
        </w:rPr>
        <w:t>C</w:t>
      </w:r>
      <w:r w:rsidR="00004406" w:rsidRPr="00D22DCA">
        <w:rPr>
          <w:rFonts w:ascii="Calibri" w:hAnsi="Calibri" w:cs="Calibri"/>
          <w:u w:val="single"/>
        </w:rPr>
        <w:t>omments</w:t>
      </w:r>
    </w:p>
    <w:p w14:paraId="3689B4C0" w14:textId="77777777" w:rsidR="000D3B6B" w:rsidRPr="00D22DCA" w:rsidRDefault="000D3B6B" w:rsidP="007E7623">
      <w:pPr>
        <w:rPr>
          <w:rFonts w:ascii="Calibri" w:hAnsi="Calibri" w:cs="Calibri"/>
          <w:color w:val="000033"/>
        </w:rPr>
      </w:pPr>
    </w:p>
    <w:p w14:paraId="7E8AE523" w14:textId="33E80B0F" w:rsidR="000D3B6B" w:rsidRPr="00D22DCA" w:rsidRDefault="000D3B6B" w:rsidP="000D3B6B">
      <w:pPr>
        <w:rPr>
          <w:rFonts w:ascii="Calibri" w:hAnsi="Calibri" w:cs="Calibri"/>
        </w:rPr>
      </w:pPr>
      <w:r w:rsidRPr="00D22DCA">
        <w:rPr>
          <w:rFonts w:ascii="Calibri" w:hAnsi="Calibri" w:cs="Calibri"/>
          <w:color w:val="000033"/>
        </w:rPr>
        <w:br/>
      </w:r>
      <w:r w:rsidRPr="00D22DCA">
        <w:rPr>
          <w:rFonts w:ascii="Calibri" w:hAnsi="Calibri" w:cs="Calibri"/>
          <w:b/>
          <w:shd w:val="clear" w:color="auto" w:fill="BFBFBF"/>
        </w:rPr>
        <w:t xml:space="preserve"> </w:t>
      </w:r>
      <w:r w:rsidRPr="00D22DCA">
        <w:rPr>
          <w:rFonts w:ascii="Calibri" w:hAnsi="Calibri" w:cs="Calibri"/>
          <w:b/>
          <w:u w:val="single"/>
          <w:shd w:val="clear" w:color="auto" w:fill="BFBFBF"/>
        </w:rPr>
        <w:t>Editorial Team</w:t>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p>
    <w:p w14:paraId="2D868836" w14:textId="55FD5603" w:rsidR="002C73D1" w:rsidRPr="00D22DCA" w:rsidRDefault="000D3B6B" w:rsidP="002C73D1">
      <w:pPr>
        <w:rPr>
          <w:rFonts w:ascii="Calibri" w:hAnsi="Calibri" w:cs="Calibri"/>
        </w:rPr>
      </w:pPr>
      <w:r w:rsidRPr="00D22DCA">
        <w:rPr>
          <w:rFonts w:ascii="Calibri" w:hAnsi="Calibri" w:cs="Calibri"/>
          <w:color w:val="222222"/>
        </w:rPr>
        <w:br/>
      </w:r>
      <w:r w:rsidR="002C73D1" w:rsidRPr="00D22DCA">
        <w:rPr>
          <w:rFonts w:ascii="Calibri" w:hAnsi="Calibri" w:cs="Calibri"/>
          <w:color w:val="222222"/>
          <w:shd w:val="clear" w:color="auto" w:fill="FFFFFF"/>
        </w:rPr>
        <w:t>1. We thank the authors for their contribution. There is sufficient interest to evaluate a revised version addressing the comments by the reviewers. The main concern is observational studies is the causal inference and issue of confounding by indication. Can the authors balance their discussion with these concerns about their findings?</w:t>
      </w:r>
    </w:p>
    <w:p w14:paraId="36BB3C94" w14:textId="1D244348" w:rsidR="00173717" w:rsidRPr="00D22DCA" w:rsidRDefault="00173717" w:rsidP="002C73D1">
      <w:pPr>
        <w:rPr>
          <w:rFonts w:ascii="Calibri" w:hAnsi="Calibri" w:cs="Calibri"/>
          <w:color w:val="000033"/>
        </w:rPr>
      </w:pPr>
    </w:p>
    <w:p w14:paraId="1866E4CC" w14:textId="59AF449C" w:rsidR="00921094" w:rsidRPr="00D22DCA" w:rsidRDefault="002C73D1">
      <w:pPr>
        <w:rPr>
          <w:rFonts w:ascii="Calibri" w:hAnsi="Calibri" w:cs="Calibri"/>
          <w:b/>
          <w:bCs/>
          <w:color w:val="000033"/>
        </w:rPr>
      </w:pPr>
      <w:r w:rsidRPr="00D22DCA">
        <w:rPr>
          <w:rFonts w:ascii="Calibri" w:hAnsi="Calibri" w:cs="Calibri"/>
          <w:b/>
          <w:bCs/>
          <w:color w:val="000033"/>
        </w:rPr>
        <w:t xml:space="preserve">Response: </w:t>
      </w:r>
      <w:r w:rsidR="00D22DCA" w:rsidRPr="00D22DCA">
        <w:rPr>
          <w:rFonts w:ascii="Calibri" w:hAnsi="Calibri" w:cs="Calibri"/>
          <w:b/>
          <w:bCs/>
          <w:color w:val="000033"/>
        </w:rPr>
        <w:t xml:space="preserve">Thank you very much for your careful consideration of our manuscript. In the revised manuscript, we now incorporate multiple additional primary and sensitivity analyses as recommended by the reviewers which we feel strengthens the observed findings </w:t>
      </w:r>
      <w:proofErr w:type="gramStart"/>
      <w:r w:rsidR="00D22DCA" w:rsidRPr="00D22DCA">
        <w:rPr>
          <w:rFonts w:ascii="Calibri" w:hAnsi="Calibri" w:cs="Calibri"/>
          <w:b/>
          <w:bCs/>
          <w:color w:val="000033"/>
        </w:rPr>
        <w:t>with regard to</w:t>
      </w:r>
      <w:proofErr w:type="gramEnd"/>
      <w:r w:rsidR="00D22DCA" w:rsidRPr="00D22DCA">
        <w:rPr>
          <w:rFonts w:ascii="Calibri" w:hAnsi="Calibri" w:cs="Calibri"/>
          <w:b/>
          <w:bCs/>
          <w:color w:val="000033"/>
        </w:rPr>
        <w:t xml:space="preserve"> PPI exposure and reduced mortality in patients hospitalized with GIB. We have also expanded the discussion and limitations sections to better acknowledge potential issues of selection bias, residual confounding, and inability to determine causality based on these findings. Please see specific responses to reviewer queries for expanded discussion and details on these changes.</w:t>
      </w:r>
      <w:r w:rsidR="00921094" w:rsidRPr="00D22DCA">
        <w:rPr>
          <w:rFonts w:ascii="Calibri" w:hAnsi="Calibri" w:cs="Calibri"/>
          <w:b/>
          <w:bCs/>
          <w:color w:val="000033"/>
        </w:rPr>
        <w:br w:type="page"/>
      </w:r>
    </w:p>
    <w:p w14:paraId="1E62F788" w14:textId="3E642C51" w:rsidR="007E7623" w:rsidRPr="00D22DCA" w:rsidRDefault="007E7623" w:rsidP="007E7623">
      <w:pPr>
        <w:rPr>
          <w:rFonts w:ascii="Calibri" w:hAnsi="Calibri" w:cs="Calibri"/>
        </w:rPr>
      </w:pPr>
      <w:r w:rsidRPr="00D22DCA">
        <w:rPr>
          <w:rFonts w:ascii="Calibri" w:hAnsi="Calibri" w:cs="Calibri"/>
          <w:b/>
          <w:shd w:val="clear" w:color="auto" w:fill="BFBFBF"/>
        </w:rPr>
        <w:lastRenderedPageBreak/>
        <w:t xml:space="preserve"> </w:t>
      </w:r>
      <w:r w:rsidR="00E45B8A" w:rsidRPr="00D22DCA">
        <w:rPr>
          <w:rFonts w:ascii="Calibri" w:hAnsi="Calibri" w:cs="Calibri"/>
          <w:b/>
          <w:u w:val="single"/>
          <w:shd w:val="clear" w:color="auto" w:fill="BFBFBF"/>
        </w:rPr>
        <w:t>Reviewer #1</w:t>
      </w:r>
      <w:r w:rsidRPr="00D22DCA">
        <w:rPr>
          <w:rFonts w:ascii="Calibri" w:hAnsi="Calibri" w:cs="Calibri"/>
          <w:b/>
          <w:shd w:val="clear" w:color="auto" w:fill="BFBFBF"/>
        </w:rPr>
        <w:tab/>
      </w:r>
      <w:r w:rsidR="00E45B8A" w:rsidRPr="00D22DCA">
        <w:rPr>
          <w:rFonts w:ascii="Calibri" w:hAnsi="Calibri" w:cs="Calibri"/>
          <w:b/>
          <w:shd w:val="clear" w:color="auto" w:fill="BFBFBF"/>
        </w:rPr>
        <w:tab/>
      </w:r>
      <w:r w:rsidR="00E45B8A" w:rsidRPr="00D22DCA">
        <w:rPr>
          <w:rFonts w:ascii="Calibri" w:hAnsi="Calibri" w:cs="Calibri"/>
          <w:b/>
          <w:shd w:val="clear" w:color="auto" w:fill="BFBFBF"/>
        </w:rPr>
        <w:tab/>
      </w:r>
      <w:r w:rsidR="00026A64" w:rsidRPr="00D22DCA">
        <w:rPr>
          <w:rFonts w:ascii="Calibri" w:hAnsi="Calibri" w:cs="Calibri"/>
          <w:b/>
          <w:shd w:val="clear" w:color="auto" w:fill="BFBFBF"/>
        </w:rPr>
        <w:tab/>
      </w:r>
      <w:r w:rsidR="00026A64"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p>
    <w:p w14:paraId="01BBED79" w14:textId="5F9BA9B0" w:rsidR="00E45B8A" w:rsidRPr="00D22DCA" w:rsidRDefault="00E45B8A" w:rsidP="00E45B8A">
      <w:pPr>
        <w:pStyle w:val="PlainText"/>
        <w:rPr>
          <w:rFonts w:ascii="Calibri" w:hAnsi="Calibri" w:cs="Calibri"/>
          <w:sz w:val="24"/>
          <w:szCs w:val="24"/>
        </w:rPr>
      </w:pPr>
    </w:p>
    <w:p w14:paraId="6D1D9E5D" w14:textId="57C0AA36" w:rsidR="002C73D1" w:rsidRPr="00D22DCA" w:rsidRDefault="00397881" w:rsidP="002C73D1">
      <w:pPr>
        <w:rPr>
          <w:rFonts w:ascii="Calibri" w:hAnsi="Calibri" w:cs="Calibri"/>
          <w:color w:val="222222"/>
          <w:shd w:val="clear" w:color="auto" w:fill="FFFFFF"/>
        </w:rPr>
      </w:pPr>
      <w:r w:rsidRPr="00D22DCA">
        <w:rPr>
          <w:rFonts w:ascii="Calibri" w:hAnsi="Calibri" w:cs="Calibri"/>
          <w:color w:val="222222"/>
          <w:shd w:val="clear" w:color="auto" w:fill="FFFFFF"/>
        </w:rPr>
        <w:t xml:space="preserve">1. </w:t>
      </w:r>
      <w:r w:rsidR="002C73D1" w:rsidRPr="00D22DCA">
        <w:rPr>
          <w:rFonts w:ascii="Calibri" w:hAnsi="Calibri" w:cs="Calibri"/>
          <w:color w:val="222222"/>
          <w:shd w:val="clear" w:color="auto" w:fill="FFFFFF"/>
        </w:rPr>
        <w:t>This is a well-designed study, with a large number of subjects over a long time period (5 years) addressing an important area of clinical controversy.</w:t>
      </w:r>
      <w:r w:rsidR="002C73D1" w:rsidRPr="00D22DCA">
        <w:rPr>
          <w:rFonts w:ascii="Calibri" w:hAnsi="Calibri" w:cs="Calibri"/>
          <w:color w:val="222222"/>
        </w:rPr>
        <w:br/>
      </w:r>
      <w:r w:rsidR="002C73D1" w:rsidRPr="00D22DCA">
        <w:rPr>
          <w:rFonts w:ascii="Calibri" w:hAnsi="Calibri" w:cs="Calibri"/>
          <w:color w:val="222222"/>
          <w:shd w:val="clear" w:color="auto" w:fill="FFFFFF"/>
        </w:rPr>
        <w:t>Its use of complex statistics attempts to overcome problems of confounding which have caused difficulty in interpreting the results of other </w:t>
      </w:r>
      <w:r w:rsidR="002C73D1" w:rsidRPr="00D22DCA">
        <w:rPr>
          <w:rStyle w:val="il"/>
          <w:rFonts w:ascii="Calibri" w:hAnsi="Calibri" w:cs="Calibri"/>
          <w:color w:val="222222"/>
          <w:shd w:val="clear" w:color="auto" w:fill="FFFFFF"/>
        </w:rPr>
        <w:t>PPI</w:t>
      </w:r>
      <w:r w:rsidR="002C73D1" w:rsidRPr="00D22DCA">
        <w:rPr>
          <w:rFonts w:ascii="Calibri" w:hAnsi="Calibri" w:cs="Calibri"/>
          <w:color w:val="222222"/>
          <w:shd w:val="clear" w:color="auto" w:fill="FFFFFF"/>
        </w:rPr>
        <w:t> safety studies.</w:t>
      </w:r>
      <w:r w:rsidR="002C73D1" w:rsidRPr="00D22DCA">
        <w:rPr>
          <w:rFonts w:ascii="Calibri" w:hAnsi="Calibri" w:cs="Calibri"/>
          <w:color w:val="222222"/>
        </w:rPr>
        <w:br/>
      </w:r>
      <w:r w:rsidR="002C73D1" w:rsidRPr="00D22DCA">
        <w:rPr>
          <w:rFonts w:ascii="Calibri" w:hAnsi="Calibri" w:cs="Calibri"/>
          <w:color w:val="222222"/>
          <w:shd w:val="clear" w:color="auto" w:fill="FFFFFF"/>
        </w:rPr>
        <w:t>It clearly demonstrates a harmful relationship between </w:t>
      </w:r>
      <w:r w:rsidR="002C73D1" w:rsidRPr="00D22DCA">
        <w:rPr>
          <w:rStyle w:val="il"/>
          <w:rFonts w:ascii="Calibri" w:hAnsi="Calibri" w:cs="Calibri"/>
          <w:color w:val="222222"/>
          <w:shd w:val="clear" w:color="auto" w:fill="FFFFFF"/>
        </w:rPr>
        <w:t>PPIs</w:t>
      </w:r>
      <w:r w:rsidR="002C73D1" w:rsidRPr="00D22DCA">
        <w:rPr>
          <w:rFonts w:ascii="Calibri" w:hAnsi="Calibri" w:cs="Calibri"/>
          <w:color w:val="222222"/>
          <w:shd w:val="clear" w:color="auto" w:fill="FFFFFF"/>
        </w:rPr>
        <w:t> and liver- related outcomes (death, SBP, decompensation), including demonstrating a dose- response relationship.</w:t>
      </w:r>
      <w:r w:rsidR="002C73D1" w:rsidRPr="00D22DCA">
        <w:rPr>
          <w:rFonts w:ascii="Calibri" w:hAnsi="Calibri" w:cs="Calibri"/>
          <w:color w:val="222222"/>
        </w:rPr>
        <w:br/>
      </w:r>
      <w:r w:rsidR="002C73D1" w:rsidRPr="00D22DCA">
        <w:rPr>
          <w:rFonts w:ascii="Calibri" w:hAnsi="Calibri" w:cs="Calibri"/>
          <w:color w:val="222222"/>
          <w:shd w:val="clear" w:color="auto" w:fill="FFFFFF"/>
        </w:rPr>
        <w:t>Using sequential models, the authors demonstrate no impact of </w:t>
      </w:r>
      <w:r w:rsidR="002C73D1" w:rsidRPr="00D22DCA">
        <w:rPr>
          <w:rStyle w:val="il"/>
          <w:rFonts w:ascii="Calibri" w:hAnsi="Calibri" w:cs="Calibri"/>
          <w:color w:val="222222"/>
          <w:shd w:val="clear" w:color="auto" w:fill="FFFFFF"/>
        </w:rPr>
        <w:t>PPI</w:t>
      </w:r>
      <w:r w:rsidR="002C73D1" w:rsidRPr="00D22DCA">
        <w:rPr>
          <w:rFonts w:ascii="Calibri" w:hAnsi="Calibri" w:cs="Calibri"/>
          <w:color w:val="222222"/>
          <w:shd w:val="clear" w:color="auto" w:fill="FFFFFF"/>
        </w:rPr>
        <w:t> on overall mortality, with an excess or liver- related mortality but less GIB related mortality.</w:t>
      </w:r>
      <w:r w:rsidR="002C73D1" w:rsidRPr="00D22DCA">
        <w:rPr>
          <w:rFonts w:ascii="Calibri" w:hAnsi="Calibri" w:cs="Calibri"/>
          <w:color w:val="222222"/>
        </w:rPr>
        <w:br/>
      </w:r>
      <w:r w:rsidR="002C73D1" w:rsidRPr="00D22DCA">
        <w:rPr>
          <w:rFonts w:ascii="Calibri" w:hAnsi="Calibri" w:cs="Calibri"/>
          <w:color w:val="222222"/>
          <w:shd w:val="clear" w:color="auto" w:fill="FFFFFF"/>
        </w:rPr>
        <w:t>It is unfortunate that the cause of death (liver vs non- liver) had to be estimated in the majority of cases.</w:t>
      </w:r>
    </w:p>
    <w:p w14:paraId="5A51F6CC" w14:textId="7228D74D" w:rsidR="002C73D1" w:rsidRPr="00D22DCA" w:rsidRDefault="002C73D1" w:rsidP="002C73D1">
      <w:pPr>
        <w:rPr>
          <w:rFonts w:ascii="Calibri" w:hAnsi="Calibri" w:cs="Calibri"/>
          <w:color w:val="222222"/>
          <w:shd w:val="clear" w:color="auto" w:fill="FFFFFF"/>
        </w:rPr>
      </w:pPr>
    </w:p>
    <w:p w14:paraId="23D89DAF" w14:textId="6A1070B8" w:rsidR="007855D5" w:rsidRPr="00D22DCA" w:rsidRDefault="007855D5" w:rsidP="007855D5">
      <w:pPr>
        <w:rPr>
          <w:rFonts w:ascii="Calibri" w:hAnsi="Calibri" w:cs="Calibri"/>
          <w:color w:val="222222"/>
        </w:rPr>
      </w:pPr>
      <w:r w:rsidRPr="00D22DCA">
        <w:rPr>
          <w:rFonts w:ascii="Calibri" w:hAnsi="Calibri" w:cs="Calibri"/>
          <w:b/>
          <w:bCs/>
          <w:color w:val="222222"/>
          <w:shd w:val="clear" w:color="auto" w:fill="FFFFFF"/>
        </w:rPr>
        <w:t xml:space="preserve">Response: Thank you very much for your critical review of our manuscript. We agree that the inability to confirm all causes of death is a limitation. For this </w:t>
      </w:r>
      <w:proofErr w:type="gramStart"/>
      <w:r w:rsidRPr="00D22DCA">
        <w:rPr>
          <w:rFonts w:ascii="Calibri" w:hAnsi="Calibri" w:cs="Calibri"/>
          <w:b/>
          <w:bCs/>
          <w:color w:val="222222"/>
          <w:shd w:val="clear" w:color="auto" w:fill="FFFFFF"/>
        </w:rPr>
        <w:t>reason</w:t>
      </w:r>
      <w:proofErr w:type="gramEnd"/>
      <w:r w:rsidRPr="00D22DCA">
        <w:rPr>
          <w:rFonts w:ascii="Calibri" w:hAnsi="Calibri" w:cs="Calibri"/>
          <w:b/>
          <w:bCs/>
          <w:color w:val="222222"/>
          <w:shd w:val="clear" w:color="auto" w:fill="FFFFFF"/>
        </w:rPr>
        <w:t xml:space="preserve"> we flagged these analyses as “exploratory” in nature in the </w:t>
      </w:r>
      <w:proofErr w:type="gramStart"/>
      <w:r w:rsidRPr="00D22DCA">
        <w:rPr>
          <w:rFonts w:ascii="Calibri" w:hAnsi="Calibri" w:cs="Calibri"/>
          <w:b/>
          <w:bCs/>
          <w:color w:val="222222"/>
          <w:shd w:val="clear" w:color="auto" w:fill="FFFFFF"/>
        </w:rPr>
        <w:t>manuscript</w:t>
      </w:r>
      <w:r w:rsidR="00D35286" w:rsidRPr="00D22DCA">
        <w:rPr>
          <w:rFonts w:ascii="Calibri" w:hAnsi="Calibri" w:cs="Calibri"/>
          <w:b/>
          <w:bCs/>
          <w:color w:val="222222"/>
          <w:shd w:val="clear" w:color="auto" w:fill="FFFFFF"/>
        </w:rPr>
        <w:t>, and</w:t>
      </w:r>
      <w:proofErr w:type="gramEnd"/>
      <w:r w:rsidR="00D35286" w:rsidRPr="00D22DCA">
        <w:rPr>
          <w:rFonts w:ascii="Calibri" w:hAnsi="Calibri" w:cs="Calibri"/>
          <w:b/>
          <w:bCs/>
          <w:color w:val="222222"/>
          <w:shd w:val="clear" w:color="auto" w:fill="FFFFFF"/>
        </w:rPr>
        <w:t xml:space="preserve"> additionally highlighted this issue in the limitations section. We are hopeful that f</w:t>
      </w:r>
      <w:r w:rsidRPr="00D22DCA">
        <w:rPr>
          <w:rFonts w:ascii="Calibri" w:hAnsi="Calibri" w:cs="Calibri"/>
          <w:b/>
          <w:bCs/>
          <w:color w:val="222222"/>
          <w:shd w:val="clear" w:color="auto" w:fill="FFFFFF"/>
        </w:rPr>
        <w:t>uture studies in datasets with detailed cause of death data may be able to address this further.</w:t>
      </w:r>
      <w:r w:rsidRPr="00D22DCA">
        <w:rPr>
          <w:rFonts w:ascii="Calibri" w:hAnsi="Calibri" w:cs="Calibri"/>
          <w:color w:val="222222"/>
        </w:rPr>
        <w:t xml:space="preserve"> </w:t>
      </w:r>
    </w:p>
    <w:p w14:paraId="37831C50" w14:textId="0457DB88" w:rsidR="007855D5" w:rsidRPr="00D22DCA" w:rsidRDefault="002C73D1" w:rsidP="002C73D1">
      <w:pPr>
        <w:rPr>
          <w:rFonts w:ascii="Calibri" w:hAnsi="Calibri" w:cs="Calibri"/>
          <w:color w:val="222222"/>
          <w:shd w:val="clear" w:color="auto" w:fill="FFFFFF"/>
        </w:rPr>
      </w:pPr>
      <w:r w:rsidRPr="00D22DCA">
        <w:rPr>
          <w:rFonts w:ascii="Calibri" w:hAnsi="Calibri" w:cs="Calibri"/>
          <w:color w:val="222222"/>
        </w:rPr>
        <w:br/>
      </w:r>
      <w:r w:rsidR="00397881" w:rsidRPr="00D22DCA">
        <w:rPr>
          <w:rFonts w:ascii="Calibri" w:hAnsi="Calibri" w:cs="Calibri"/>
          <w:color w:val="222222"/>
          <w:shd w:val="clear" w:color="auto" w:fill="FFFFFF"/>
        </w:rPr>
        <w:t xml:space="preserve">2. </w:t>
      </w:r>
      <w:r w:rsidRPr="00D22DCA">
        <w:rPr>
          <w:rFonts w:ascii="Calibri" w:hAnsi="Calibri" w:cs="Calibri"/>
          <w:color w:val="222222"/>
          <w:shd w:val="clear" w:color="auto" w:fill="FFFFFF"/>
        </w:rPr>
        <w:t>For practicing clinicians, it would be useful to provide some additional information, or context in the discussion to convey the plausibility of this model. If there is an excess of deaths with </w:t>
      </w:r>
      <w:r w:rsidRPr="00D22DCA">
        <w:rPr>
          <w:rStyle w:val="il"/>
          <w:rFonts w:ascii="Calibri" w:hAnsi="Calibri" w:cs="Calibri"/>
          <w:color w:val="222222"/>
          <w:shd w:val="clear" w:color="auto" w:fill="FFFFFF"/>
        </w:rPr>
        <w:t>PPI</w:t>
      </w:r>
      <w:r w:rsidRPr="00D22DCA">
        <w:rPr>
          <w:rFonts w:ascii="Calibri" w:hAnsi="Calibri" w:cs="Calibri"/>
          <w:color w:val="222222"/>
          <w:shd w:val="clear" w:color="auto" w:fill="FFFFFF"/>
        </w:rPr>
        <w:t> except when we take account of GI bleeding (GIB) GIB related deaths, a first impression is that the mortality related to GIB must be relatively high in this cohort, and that there must be a relatively high proportion of non- variceal to variceal bleeding for </w:t>
      </w:r>
      <w:r w:rsidRPr="00D22DCA">
        <w:rPr>
          <w:rStyle w:val="il"/>
          <w:rFonts w:ascii="Calibri" w:hAnsi="Calibri" w:cs="Calibri"/>
          <w:color w:val="222222"/>
          <w:shd w:val="clear" w:color="auto" w:fill="FFFFFF"/>
        </w:rPr>
        <w:t>PPIs</w:t>
      </w:r>
      <w:r w:rsidRPr="00D22DCA">
        <w:rPr>
          <w:rFonts w:ascii="Calibri" w:hAnsi="Calibri" w:cs="Calibri"/>
          <w:color w:val="222222"/>
          <w:shd w:val="clear" w:color="auto" w:fill="FFFFFF"/>
        </w:rPr>
        <w:t> to be particularly effective.</w:t>
      </w:r>
    </w:p>
    <w:p w14:paraId="680C2FCC" w14:textId="77777777" w:rsidR="007855D5" w:rsidRPr="00D22DCA" w:rsidRDefault="007855D5" w:rsidP="002C73D1">
      <w:pPr>
        <w:rPr>
          <w:rFonts w:ascii="Calibri" w:hAnsi="Calibri" w:cs="Calibri"/>
          <w:color w:val="222222"/>
          <w:shd w:val="clear" w:color="auto" w:fill="FFFFFF"/>
        </w:rPr>
      </w:pPr>
    </w:p>
    <w:p w14:paraId="602E6752" w14:textId="307DE5E0" w:rsidR="007855D5" w:rsidRPr="00D22DCA" w:rsidRDefault="007855D5" w:rsidP="002C73D1">
      <w:pPr>
        <w:rPr>
          <w:rFonts w:ascii="Calibri" w:hAnsi="Calibri" w:cs="Calibri"/>
          <w:b/>
          <w:bCs/>
          <w:color w:val="222222"/>
          <w:shd w:val="clear" w:color="auto" w:fill="FFFFFF"/>
        </w:rPr>
      </w:pPr>
      <w:r w:rsidRPr="00D22DCA">
        <w:rPr>
          <w:rFonts w:ascii="Calibri" w:hAnsi="Calibri" w:cs="Calibri"/>
          <w:b/>
          <w:bCs/>
          <w:color w:val="222222"/>
          <w:shd w:val="clear" w:color="auto" w:fill="FFFFFF"/>
        </w:rPr>
        <w:t xml:space="preserve">Response: Thank you for raising this important point. </w:t>
      </w:r>
      <w:r w:rsidR="00624609" w:rsidRPr="00D22DCA">
        <w:rPr>
          <w:rFonts w:ascii="Calibri" w:hAnsi="Calibri" w:cs="Calibri"/>
          <w:b/>
          <w:bCs/>
          <w:color w:val="222222"/>
          <w:shd w:val="clear" w:color="auto" w:fill="FFFFFF"/>
        </w:rPr>
        <w:t>This is an excellent suggestion, and we agree that further exploration of the interaction between PPI exposure and hospitalization with GIB is warranted, especially given the primacy of this finding to the manuscript overall. To address your critique, we have first returned to the dataset to classify the GI bleeding events as PUD versus non-PUD. We did not report this in the initial manuscript given that these GIB codes have not been validated to distinguish PUD from non-PUD GI bleeding</w:t>
      </w:r>
      <w:r w:rsidR="00155DD3" w:rsidRPr="00D22DCA">
        <w:rPr>
          <w:rFonts w:ascii="Calibri" w:hAnsi="Calibri" w:cs="Calibri"/>
          <w:b/>
          <w:bCs/>
          <w:color w:val="222222"/>
          <w:shd w:val="clear" w:color="auto" w:fill="FFFFFF"/>
        </w:rPr>
        <w:t xml:space="preserve"> in the VA cohort</w:t>
      </w:r>
      <w:r w:rsidR="00624609" w:rsidRPr="00D22DCA">
        <w:rPr>
          <w:rFonts w:ascii="Calibri" w:hAnsi="Calibri" w:cs="Calibri"/>
          <w:b/>
          <w:bCs/>
          <w:color w:val="222222"/>
          <w:shd w:val="clear" w:color="auto" w:fill="FFFFFF"/>
        </w:rPr>
        <w:t xml:space="preserve">, and thus the reliability of this is not known. However, with that caveat in mind, there are dedicated ICD-9 and ICD-10 codes that are intended to be applied specifically for PUD related bleeding (531.x, 532.x, 533.x, 534.x; K25.x, K26.x, K27.x, K28.x). We have used these codes to classify PUD vs. non-PUD bleeding. </w:t>
      </w:r>
    </w:p>
    <w:p w14:paraId="0E19049E" w14:textId="70D2D65F" w:rsidR="00155DD3" w:rsidRPr="00D22DCA" w:rsidRDefault="00155DD3" w:rsidP="002C73D1">
      <w:pPr>
        <w:rPr>
          <w:rFonts w:ascii="Calibri" w:hAnsi="Calibri" w:cs="Calibri"/>
          <w:b/>
          <w:bCs/>
          <w:color w:val="222222"/>
          <w:shd w:val="clear" w:color="auto" w:fill="FFFFFF"/>
        </w:rPr>
      </w:pPr>
    </w:p>
    <w:p w14:paraId="27B47AF6" w14:textId="77CE2161" w:rsidR="00155DD3" w:rsidRPr="00D22DCA" w:rsidRDefault="00155DD3" w:rsidP="002C73D1">
      <w:pPr>
        <w:rPr>
          <w:rFonts w:ascii="Calibri" w:hAnsi="Calibri" w:cs="Calibri"/>
          <w:b/>
          <w:bCs/>
          <w:color w:val="222222"/>
          <w:shd w:val="clear" w:color="auto" w:fill="FFFFFF"/>
        </w:rPr>
      </w:pPr>
      <w:r w:rsidRPr="00D22DCA">
        <w:rPr>
          <w:rFonts w:ascii="Calibri" w:hAnsi="Calibri" w:cs="Calibri"/>
          <w:b/>
          <w:bCs/>
          <w:color w:val="222222"/>
          <w:shd w:val="clear" w:color="auto" w:fill="FFFFFF"/>
        </w:rPr>
        <w:t>In the revised manuscript we have added several data points and relevant analyses. First, a total 11,998 (15.7%) of the cohort experienced a hospitalization with GIB. Of these, 3,079 (25.7%) were PUD-related GIB events. Second, we performed an additional exploratory analysis to determine whether the observed protective association between PPI exposure and all-cause mortality in patients with hospitalization GIB was likely to be related to management of PUD specifically. For this analysis, we limited hospitalization GIB events to only those with PUD as an etiology, and repeated final multivariable regression models. In all approaches to categorizing PPI exposure, we found an increase in the magnitude of the protective association between PPI exposure and all-cause mortality in patients with PUD-related GIB. This adds support to the hypothesis that the mechanism by which PPIs may be protective in this setting is through management and prevention of PUD-related complications. We have updated the methods, results, and discussion to reflect these changes</w:t>
      </w:r>
      <w:r w:rsidR="00D35286" w:rsidRPr="00D22DCA">
        <w:rPr>
          <w:rFonts w:ascii="Calibri" w:hAnsi="Calibri" w:cs="Calibri"/>
          <w:b/>
          <w:bCs/>
          <w:color w:val="222222"/>
          <w:shd w:val="clear" w:color="auto" w:fill="FFFFFF"/>
        </w:rPr>
        <w:t>.</w:t>
      </w:r>
    </w:p>
    <w:p w14:paraId="1978DC5E" w14:textId="7D65066D" w:rsidR="00624609" w:rsidRPr="00D22DCA" w:rsidRDefault="002C73D1" w:rsidP="002C73D1">
      <w:pPr>
        <w:rPr>
          <w:rFonts w:ascii="Calibri" w:hAnsi="Calibri" w:cs="Calibri"/>
          <w:color w:val="222222"/>
        </w:rPr>
      </w:pPr>
      <w:r w:rsidRPr="00D22DCA">
        <w:rPr>
          <w:rFonts w:ascii="Calibri" w:hAnsi="Calibri" w:cs="Calibri"/>
          <w:color w:val="222222"/>
        </w:rPr>
        <w:br/>
      </w:r>
      <w:r w:rsidR="00397881" w:rsidRPr="00D22DCA">
        <w:rPr>
          <w:rFonts w:ascii="Calibri" w:hAnsi="Calibri" w:cs="Calibri"/>
          <w:color w:val="222222"/>
          <w:shd w:val="clear" w:color="auto" w:fill="FFFFFF"/>
        </w:rPr>
        <w:t xml:space="preserve">3. </w:t>
      </w:r>
      <w:r w:rsidRPr="00D22DCA">
        <w:rPr>
          <w:rFonts w:ascii="Calibri" w:hAnsi="Calibri" w:cs="Calibri"/>
          <w:color w:val="222222"/>
          <w:shd w:val="clear" w:color="auto" w:fill="FFFFFF"/>
        </w:rPr>
        <w:t>It would be useful to have an indication of the proportion (or at least a discussion) of patients who were hospitalized for GIB, and the GIB mortality, and ideally an indication of the proportion of variceal versus non- variceal GIB, and whether </w:t>
      </w:r>
      <w:r w:rsidRPr="00D22DCA">
        <w:rPr>
          <w:rStyle w:val="il"/>
          <w:rFonts w:ascii="Calibri" w:hAnsi="Calibri" w:cs="Calibri"/>
          <w:color w:val="222222"/>
          <w:shd w:val="clear" w:color="auto" w:fill="FFFFFF"/>
        </w:rPr>
        <w:t>PPI</w:t>
      </w:r>
      <w:r w:rsidRPr="00D22DCA">
        <w:rPr>
          <w:rFonts w:ascii="Calibri" w:hAnsi="Calibri" w:cs="Calibri"/>
          <w:color w:val="222222"/>
          <w:shd w:val="clear" w:color="auto" w:fill="FFFFFF"/>
        </w:rPr>
        <w:t xml:space="preserve"> was harmful or protective in variceal GIB. The authors acknowledge that they do </w:t>
      </w:r>
      <w:r w:rsidRPr="00D22DCA">
        <w:rPr>
          <w:rFonts w:ascii="Calibri" w:hAnsi="Calibri" w:cs="Calibri"/>
          <w:color w:val="222222"/>
          <w:shd w:val="clear" w:color="auto" w:fill="FFFFFF"/>
        </w:rPr>
        <w:lastRenderedPageBreak/>
        <w:t>not have specific peptic ulcer data (line 58, page 2 of discussion)</w:t>
      </w:r>
      <w:r w:rsidRPr="00D22DCA">
        <w:rPr>
          <w:rFonts w:ascii="Calibri" w:hAnsi="Calibri" w:cs="Calibri"/>
          <w:color w:val="222222"/>
        </w:rPr>
        <w:br/>
      </w:r>
    </w:p>
    <w:p w14:paraId="4CAAD073" w14:textId="1426FFF4" w:rsidR="00624609" w:rsidRPr="00D22DCA" w:rsidRDefault="00624609" w:rsidP="00624609">
      <w:pPr>
        <w:rPr>
          <w:rFonts w:ascii="Calibri" w:hAnsi="Calibri" w:cs="Calibri"/>
          <w:b/>
          <w:bCs/>
          <w:color w:val="222222"/>
          <w:shd w:val="clear" w:color="auto" w:fill="FFFFFF"/>
        </w:rPr>
      </w:pPr>
      <w:r w:rsidRPr="00D22DCA">
        <w:rPr>
          <w:rFonts w:ascii="Calibri" w:hAnsi="Calibri" w:cs="Calibri"/>
          <w:b/>
          <w:bCs/>
          <w:color w:val="222222"/>
          <w:shd w:val="clear" w:color="auto" w:fill="FFFFFF"/>
        </w:rPr>
        <w:t xml:space="preserve">Response: Thank you for raising this important point. </w:t>
      </w:r>
      <w:r w:rsidR="00155DD3" w:rsidRPr="00D22DCA">
        <w:rPr>
          <w:rFonts w:ascii="Calibri" w:hAnsi="Calibri" w:cs="Calibri"/>
          <w:b/>
          <w:bCs/>
          <w:color w:val="222222"/>
          <w:shd w:val="clear" w:color="auto" w:fill="FFFFFF"/>
        </w:rPr>
        <w:t xml:space="preserve">We have done our best to address this line of inquiry in our response to your Query #2. Variceal bleeding events are difficult to reliably capture in this dataset given very poor sensitivity of the associated diagnostic codes. </w:t>
      </w:r>
      <w:proofErr w:type="gramStart"/>
      <w:r w:rsidR="00155DD3" w:rsidRPr="00D22DCA">
        <w:rPr>
          <w:rFonts w:ascii="Calibri" w:hAnsi="Calibri" w:cs="Calibri"/>
          <w:b/>
          <w:bCs/>
          <w:color w:val="222222"/>
          <w:shd w:val="clear" w:color="auto" w:fill="FFFFFF"/>
        </w:rPr>
        <w:t>Instead</w:t>
      </w:r>
      <w:proofErr w:type="gramEnd"/>
      <w:r w:rsidR="00155DD3" w:rsidRPr="00D22DCA">
        <w:rPr>
          <w:rFonts w:ascii="Calibri" w:hAnsi="Calibri" w:cs="Calibri"/>
          <w:b/>
          <w:bCs/>
          <w:color w:val="222222"/>
          <w:shd w:val="clear" w:color="auto" w:fill="FFFFFF"/>
        </w:rPr>
        <w:t xml:space="preserve"> we now provide the proportions of PUD and non-PUD-related bleeding, in addition to the dedicated PUD-related analysis detailed above. We have </w:t>
      </w:r>
      <w:r w:rsidR="003010DE" w:rsidRPr="00D22DCA">
        <w:rPr>
          <w:rFonts w:ascii="Calibri" w:hAnsi="Calibri" w:cs="Calibri"/>
          <w:b/>
          <w:bCs/>
          <w:color w:val="222222"/>
          <w:shd w:val="clear" w:color="auto" w:fill="FFFFFF"/>
        </w:rPr>
        <w:t xml:space="preserve">also expanded the limitations section to note that variceal bleeding could not be captured to explore the association between PPI exposure and mortality in </w:t>
      </w:r>
      <w:r w:rsidR="00537B18" w:rsidRPr="00D22DCA">
        <w:rPr>
          <w:rFonts w:ascii="Calibri" w:hAnsi="Calibri" w:cs="Calibri"/>
          <w:b/>
          <w:bCs/>
          <w:color w:val="222222"/>
          <w:shd w:val="clear" w:color="auto" w:fill="FFFFFF"/>
        </w:rPr>
        <w:t xml:space="preserve">this </w:t>
      </w:r>
      <w:r w:rsidR="003010DE" w:rsidRPr="00D22DCA">
        <w:rPr>
          <w:rFonts w:ascii="Calibri" w:hAnsi="Calibri" w:cs="Calibri"/>
          <w:b/>
          <w:bCs/>
          <w:color w:val="222222"/>
          <w:shd w:val="clear" w:color="auto" w:fill="FFFFFF"/>
        </w:rPr>
        <w:t>specific clinical scenario.</w:t>
      </w:r>
    </w:p>
    <w:p w14:paraId="2264FE89" w14:textId="75E32B85" w:rsidR="00397881" w:rsidRPr="00D22DCA" w:rsidRDefault="002C73D1" w:rsidP="002C73D1">
      <w:pPr>
        <w:rPr>
          <w:rFonts w:ascii="Calibri" w:hAnsi="Calibri" w:cs="Calibri"/>
          <w:color w:val="222222"/>
          <w:shd w:val="clear" w:color="auto" w:fill="FFFFFF"/>
        </w:rPr>
      </w:pPr>
      <w:r w:rsidRPr="00D22DCA">
        <w:rPr>
          <w:rFonts w:ascii="Calibri" w:hAnsi="Calibri" w:cs="Calibri"/>
          <w:color w:val="222222"/>
        </w:rPr>
        <w:br/>
      </w:r>
      <w:r w:rsidRPr="00D22DCA">
        <w:rPr>
          <w:rFonts w:ascii="Calibri" w:hAnsi="Calibri" w:cs="Calibri"/>
          <w:color w:val="222222"/>
          <w:shd w:val="clear" w:color="auto" w:fill="FFFFFF"/>
        </w:rPr>
        <w:t>minor points:</w:t>
      </w:r>
      <w:r w:rsidRPr="00D22DCA">
        <w:rPr>
          <w:rFonts w:ascii="Calibri" w:hAnsi="Calibri" w:cs="Calibri"/>
          <w:color w:val="222222"/>
        </w:rPr>
        <w:br/>
      </w:r>
      <w:r w:rsidR="00FA1B14" w:rsidRPr="00D22DCA">
        <w:rPr>
          <w:rFonts w:ascii="Calibri" w:hAnsi="Calibri" w:cs="Calibri"/>
          <w:color w:val="222222"/>
          <w:shd w:val="clear" w:color="auto" w:fill="FFFFFF"/>
        </w:rPr>
        <w:t xml:space="preserve">4. </w:t>
      </w:r>
      <w:r w:rsidRPr="00D22DCA">
        <w:rPr>
          <w:rFonts w:ascii="Calibri" w:hAnsi="Calibri" w:cs="Calibri"/>
          <w:color w:val="222222"/>
          <w:shd w:val="clear" w:color="auto" w:fill="FFFFFF"/>
        </w:rPr>
        <w:t>Introduction, lines 5-9): altered metabolism/ pharmacokinetics may not be the main reason for </w:t>
      </w:r>
      <w:r w:rsidRPr="00D22DCA">
        <w:rPr>
          <w:rStyle w:val="il"/>
          <w:rFonts w:ascii="Calibri" w:hAnsi="Calibri" w:cs="Calibri"/>
          <w:color w:val="222222"/>
          <w:shd w:val="clear" w:color="auto" w:fill="FFFFFF"/>
        </w:rPr>
        <w:t>PPI</w:t>
      </w:r>
      <w:r w:rsidRPr="00D22DCA">
        <w:rPr>
          <w:rFonts w:ascii="Calibri" w:hAnsi="Calibri" w:cs="Calibri"/>
          <w:color w:val="222222"/>
          <w:shd w:val="clear" w:color="auto" w:fill="FFFFFF"/>
        </w:rPr>
        <w:t> adverse effects in cirrhosis. It may relate to intended therapeutic effect on more susceptible individual (e.g. leaky gut)- as discussed by authors at line 52-3 in discussion. Might be better to say in introduction that both altered pharmacokinetics and intended therapeutic effect of </w:t>
      </w:r>
      <w:r w:rsidRPr="00D22DCA">
        <w:rPr>
          <w:rStyle w:val="il"/>
          <w:rFonts w:ascii="Calibri" w:hAnsi="Calibri" w:cs="Calibri"/>
          <w:color w:val="222222"/>
          <w:shd w:val="clear" w:color="auto" w:fill="FFFFFF"/>
        </w:rPr>
        <w:t>PPI</w:t>
      </w:r>
      <w:r w:rsidRPr="00D22DCA">
        <w:rPr>
          <w:rFonts w:ascii="Calibri" w:hAnsi="Calibri" w:cs="Calibri"/>
          <w:color w:val="222222"/>
          <w:shd w:val="clear" w:color="auto" w:fill="FFFFFF"/>
        </w:rPr>
        <w:t> in susceptible individuals create biological plausibility for potentially harmful effects of </w:t>
      </w:r>
      <w:r w:rsidRPr="00D22DCA">
        <w:rPr>
          <w:rStyle w:val="il"/>
          <w:rFonts w:ascii="Calibri" w:hAnsi="Calibri" w:cs="Calibri"/>
          <w:color w:val="222222"/>
          <w:shd w:val="clear" w:color="auto" w:fill="FFFFFF"/>
        </w:rPr>
        <w:t>PPI</w:t>
      </w:r>
      <w:r w:rsidRPr="00D22DCA">
        <w:rPr>
          <w:rFonts w:ascii="Calibri" w:hAnsi="Calibri" w:cs="Calibri"/>
          <w:color w:val="222222"/>
          <w:shd w:val="clear" w:color="auto" w:fill="FFFFFF"/>
        </w:rPr>
        <w:t>.</w:t>
      </w:r>
    </w:p>
    <w:p w14:paraId="25D728CA" w14:textId="77777777" w:rsidR="00397881" w:rsidRPr="00D22DCA" w:rsidRDefault="00397881" w:rsidP="00397881">
      <w:pPr>
        <w:rPr>
          <w:rFonts w:ascii="Calibri" w:hAnsi="Calibri" w:cs="Calibri"/>
          <w:b/>
          <w:bCs/>
          <w:color w:val="222222"/>
          <w:shd w:val="clear" w:color="auto" w:fill="FFFFFF"/>
        </w:rPr>
      </w:pPr>
    </w:p>
    <w:p w14:paraId="7C314C36" w14:textId="5EDD0D8A" w:rsidR="00397881" w:rsidRPr="00D22DCA" w:rsidRDefault="00397881" w:rsidP="002C73D1">
      <w:pPr>
        <w:rPr>
          <w:rFonts w:ascii="Calibri" w:hAnsi="Calibri" w:cs="Calibri"/>
          <w:b/>
          <w:bCs/>
          <w:color w:val="222222"/>
          <w:shd w:val="clear" w:color="auto" w:fill="FFFFFF"/>
        </w:rPr>
      </w:pPr>
      <w:r w:rsidRPr="00D22DCA">
        <w:rPr>
          <w:rFonts w:ascii="Calibri" w:hAnsi="Calibri" w:cs="Calibri"/>
          <w:b/>
          <w:bCs/>
          <w:color w:val="222222"/>
          <w:shd w:val="clear" w:color="auto" w:fill="FFFFFF"/>
        </w:rPr>
        <w:t xml:space="preserve">Response: Thank you for </w:t>
      </w:r>
      <w:r w:rsidR="00EA7FC5" w:rsidRPr="00D22DCA">
        <w:rPr>
          <w:rFonts w:ascii="Calibri" w:hAnsi="Calibri" w:cs="Calibri"/>
          <w:b/>
          <w:bCs/>
          <w:color w:val="222222"/>
          <w:shd w:val="clear" w:color="auto" w:fill="FFFFFF"/>
        </w:rPr>
        <w:t>highlighting this issue. We agree with your recommendation and have made the association changes to the introduction.</w:t>
      </w:r>
    </w:p>
    <w:p w14:paraId="4B428630" w14:textId="77777777" w:rsidR="00101B80" w:rsidRPr="00D22DCA" w:rsidRDefault="002C73D1" w:rsidP="002C73D1">
      <w:pPr>
        <w:rPr>
          <w:rFonts w:ascii="Calibri" w:hAnsi="Calibri" w:cs="Calibri"/>
          <w:color w:val="222222"/>
          <w:shd w:val="clear" w:color="auto" w:fill="FFFFFF"/>
        </w:rPr>
      </w:pPr>
      <w:r w:rsidRPr="00D22DCA">
        <w:rPr>
          <w:rFonts w:ascii="Calibri" w:hAnsi="Calibri" w:cs="Calibri"/>
          <w:color w:val="222222"/>
        </w:rPr>
        <w:br/>
      </w:r>
      <w:r w:rsidRPr="00D22DCA">
        <w:rPr>
          <w:rFonts w:ascii="Calibri" w:hAnsi="Calibri" w:cs="Calibri"/>
          <w:color w:val="222222"/>
          <w:shd w:val="clear" w:color="auto" w:fill="FFFFFF"/>
        </w:rPr>
        <w:t>Table 3 and Figure 2 provide the same information- one could be omitted.</w:t>
      </w:r>
    </w:p>
    <w:p w14:paraId="6F8857DB" w14:textId="77777777" w:rsidR="00101B80" w:rsidRPr="00D22DCA" w:rsidRDefault="00101B80" w:rsidP="002C73D1">
      <w:pPr>
        <w:rPr>
          <w:rFonts w:ascii="Calibri" w:hAnsi="Calibri" w:cs="Calibri"/>
          <w:color w:val="222222"/>
        </w:rPr>
      </w:pPr>
    </w:p>
    <w:p w14:paraId="058CEBC3" w14:textId="643D2B26" w:rsidR="00101B80" w:rsidRPr="00D22DCA" w:rsidRDefault="00101B80" w:rsidP="002C73D1">
      <w:pPr>
        <w:rPr>
          <w:rFonts w:ascii="Calibri" w:hAnsi="Calibri" w:cs="Calibri"/>
          <w:b/>
          <w:bCs/>
          <w:color w:val="222222"/>
          <w:shd w:val="clear" w:color="auto" w:fill="FFFFFF"/>
        </w:rPr>
      </w:pPr>
      <w:r w:rsidRPr="00D22DCA">
        <w:rPr>
          <w:rFonts w:ascii="Calibri" w:hAnsi="Calibri" w:cs="Calibri"/>
          <w:b/>
          <w:bCs/>
          <w:color w:val="222222"/>
          <w:shd w:val="clear" w:color="auto" w:fill="FFFFFF"/>
        </w:rPr>
        <w:t xml:space="preserve">Response: Thank you for </w:t>
      </w:r>
      <w:r w:rsidR="00EA7FC5" w:rsidRPr="00D22DCA">
        <w:rPr>
          <w:rFonts w:ascii="Calibri" w:hAnsi="Calibri" w:cs="Calibri"/>
          <w:b/>
          <w:bCs/>
          <w:color w:val="222222"/>
          <w:shd w:val="clear" w:color="auto" w:fill="FFFFFF"/>
        </w:rPr>
        <w:t xml:space="preserve">this suggestion. As detailed in our responses to queries from reviewer #2, we have added results from additional regression analyses to Table 3, which are not reflected in Figure 2. </w:t>
      </w:r>
      <w:proofErr w:type="gramStart"/>
      <w:r w:rsidR="00EA7FC5" w:rsidRPr="00D22DCA">
        <w:rPr>
          <w:rFonts w:ascii="Calibri" w:hAnsi="Calibri" w:cs="Calibri"/>
          <w:b/>
          <w:bCs/>
          <w:color w:val="222222"/>
          <w:shd w:val="clear" w:color="auto" w:fill="FFFFFF"/>
        </w:rPr>
        <w:t>In light of</w:t>
      </w:r>
      <w:proofErr w:type="gramEnd"/>
      <w:r w:rsidR="00EA7FC5" w:rsidRPr="00D22DCA">
        <w:rPr>
          <w:rFonts w:ascii="Calibri" w:hAnsi="Calibri" w:cs="Calibri"/>
          <w:b/>
          <w:bCs/>
          <w:color w:val="222222"/>
          <w:shd w:val="clear" w:color="auto" w:fill="FFFFFF"/>
        </w:rPr>
        <w:t xml:space="preserve"> these changes, we have opted to include both Table 3 and Figure 2 as primary data in the manuscript.</w:t>
      </w:r>
      <w:r w:rsidR="001547DA">
        <w:rPr>
          <w:rFonts w:ascii="Calibri" w:hAnsi="Calibri" w:cs="Calibri"/>
          <w:b/>
          <w:bCs/>
          <w:color w:val="222222"/>
          <w:shd w:val="clear" w:color="auto" w:fill="FFFFFF"/>
        </w:rPr>
        <w:t xml:space="preserve"> Figure 2 also provides a nice visual overview of the results which may be more difficult to appreciate in </w:t>
      </w:r>
      <w:r w:rsidR="00CE0AA0">
        <w:rPr>
          <w:rFonts w:ascii="Calibri" w:hAnsi="Calibri" w:cs="Calibri"/>
          <w:b/>
          <w:bCs/>
          <w:color w:val="222222"/>
          <w:shd w:val="clear" w:color="auto" w:fill="FFFFFF"/>
        </w:rPr>
        <w:t>t</w:t>
      </w:r>
      <w:r w:rsidR="001547DA">
        <w:rPr>
          <w:rFonts w:ascii="Calibri" w:hAnsi="Calibri" w:cs="Calibri"/>
          <w:b/>
          <w:bCs/>
          <w:color w:val="222222"/>
          <w:shd w:val="clear" w:color="auto" w:fill="FFFFFF"/>
        </w:rPr>
        <w:t>able format alone.</w:t>
      </w:r>
    </w:p>
    <w:p w14:paraId="1C1EA874" w14:textId="6B39054B" w:rsidR="00101B80" w:rsidRPr="00D22DCA" w:rsidRDefault="002C73D1" w:rsidP="002C73D1">
      <w:pPr>
        <w:rPr>
          <w:rFonts w:ascii="Calibri" w:hAnsi="Calibri" w:cs="Calibri"/>
          <w:color w:val="222222"/>
          <w:shd w:val="clear" w:color="auto" w:fill="FFFFFF"/>
        </w:rPr>
      </w:pPr>
      <w:r w:rsidRPr="00D22DCA">
        <w:rPr>
          <w:rFonts w:ascii="Calibri" w:hAnsi="Calibri" w:cs="Calibri"/>
          <w:color w:val="222222"/>
        </w:rPr>
        <w:br/>
      </w:r>
      <w:r w:rsidRPr="00D22DCA">
        <w:rPr>
          <w:rFonts w:ascii="Calibri" w:hAnsi="Calibri" w:cs="Calibri"/>
          <w:color w:val="222222"/>
          <w:shd w:val="clear" w:color="auto" w:fill="FFFFFF"/>
        </w:rPr>
        <w:t>The information in supplementary table 4 is quite important and should perhaps be a main rather than supplementary table.</w:t>
      </w:r>
    </w:p>
    <w:p w14:paraId="23157BC2" w14:textId="77777777" w:rsidR="00101B80" w:rsidRPr="00D22DCA" w:rsidRDefault="00101B80" w:rsidP="002C73D1">
      <w:pPr>
        <w:rPr>
          <w:rFonts w:ascii="Calibri" w:hAnsi="Calibri" w:cs="Calibri"/>
          <w:color w:val="222222"/>
        </w:rPr>
      </w:pPr>
    </w:p>
    <w:p w14:paraId="1EDD6E51" w14:textId="18EFFE10" w:rsidR="00101B80" w:rsidRPr="00D22DCA" w:rsidRDefault="00101B80" w:rsidP="00101B80">
      <w:pPr>
        <w:rPr>
          <w:rFonts w:ascii="Calibri" w:hAnsi="Calibri" w:cs="Calibri"/>
          <w:b/>
          <w:bCs/>
          <w:color w:val="222222"/>
          <w:shd w:val="clear" w:color="auto" w:fill="FFFFFF"/>
        </w:rPr>
      </w:pPr>
      <w:r w:rsidRPr="00D22DCA">
        <w:rPr>
          <w:rFonts w:ascii="Calibri" w:hAnsi="Calibri" w:cs="Calibri"/>
          <w:b/>
          <w:bCs/>
          <w:color w:val="222222"/>
          <w:shd w:val="clear" w:color="auto" w:fill="FFFFFF"/>
        </w:rPr>
        <w:t xml:space="preserve">Response: Thank you for </w:t>
      </w:r>
      <w:r w:rsidR="000643B9" w:rsidRPr="00D22DCA">
        <w:rPr>
          <w:rFonts w:ascii="Calibri" w:hAnsi="Calibri" w:cs="Calibri"/>
          <w:b/>
          <w:bCs/>
          <w:color w:val="222222"/>
          <w:shd w:val="clear" w:color="auto" w:fill="FFFFFF"/>
        </w:rPr>
        <w:t xml:space="preserve">this suggestion. </w:t>
      </w:r>
      <w:r w:rsidR="00202D2E">
        <w:rPr>
          <w:rFonts w:ascii="Calibri" w:hAnsi="Calibri" w:cs="Calibri"/>
          <w:b/>
          <w:bCs/>
          <w:color w:val="222222"/>
          <w:shd w:val="clear" w:color="auto" w:fill="FFFFFF"/>
        </w:rPr>
        <w:t>We agree that the data in Supplemental Table 4 are important to the paper. We have moved these data into a combine</w:t>
      </w:r>
      <w:r w:rsidR="001547DA">
        <w:rPr>
          <w:rFonts w:ascii="Calibri" w:hAnsi="Calibri" w:cs="Calibri"/>
          <w:b/>
          <w:bCs/>
          <w:color w:val="222222"/>
          <w:shd w:val="clear" w:color="auto" w:fill="FFFFFF"/>
        </w:rPr>
        <w:t>d</w:t>
      </w:r>
      <w:r w:rsidR="00202D2E">
        <w:rPr>
          <w:rFonts w:ascii="Calibri" w:hAnsi="Calibri" w:cs="Calibri"/>
          <w:b/>
          <w:bCs/>
          <w:color w:val="222222"/>
          <w:shd w:val="clear" w:color="auto" w:fill="FFFFFF"/>
        </w:rPr>
        <w:t xml:space="preserve"> Table 2, which now also features results from an analysis of cumulative PPI dose exposure. </w:t>
      </w:r>
    </w:p>
    <w:p w14:paraId="58C397EC" w14:textId="0A397D46" w:rsidR="002C73D1" w:rsidRPr="00D22DCA" w:rsidRDefault="002C73D1" w:rsidP="002C73D1">
      <w:pPr>
        <w:rPr>
          <w:rFonts w:ascii="Calibri" w:hAnsi="Calibri" w:cs="Calibri"/>
          <w:color w:val="222222"/>
          <w:shd w:val="clear" w:color="auto" w:fill="FFFFFF"/>
        </w:rPr>
      </w:pPr>
      <w:r w:rsidRPr="00D22DCA">
        <w:rPr>
          <w:rFonts w:ascii="Calibri" w:hAnsi="Calibri" w:cs="Calibri"/>
          <w:color w:val="222222"/>
        </w:rPr>
        <w:br/>
      </w:r>
      <w:r w:rsidRPr="00D22DCA">
        <w:rPr>
          <w:rFonts w:ascii="Calibri" w:hAnsi="Calibri" w:cs="Calibri"/>
          <w:color w:val="222222"/>
          <w:shd w:val="clear" w:color="auto" w:fill="FFFFFF"/>
        </w:rPr>
        <w:t>I would suggest mentioning the effect of increasing </w:t>
      </w:r>
      <w:proofErr w:type="spellStart"/>
      <w:r w:rsidRPr="00D22DCA">
        <w:rPr>
          <w:rStyle w:val="il"/>
          <w:rFonts w:ascii="Calibri" w:hAnsi="Calibri" w:cs="Calibri"/>
          <w:color w:val="222222"/>
          <w:shd w:val="clear" w:color="auto" w:fill="FFFFFF"/>
        </w:rPr>
        <w:t>PPi</w:t>
      </w:r>
      <w:proofErr w:type="spellEnd"/>
      <w:r w:rsidRPr="00D22DCA">
        <w:rPr>
          <w:rFonts w:ascii="Calibri" w:hAnsi="Calibri" w:cs="Calibri"/>
          <w:color w:val="222222"/>
          <w:shd w:val="clear" w:color="auto" w:fill="FFFFFF"/>
        </w:rPr>
        <w:t> dose on mortality in the abstract</w:t>
      </w:r>
    </w:p>
    <w:p w14:paraId="3DE25C48" w14:textId="2FFAF89E" w:rsidR="00101B80" w:rsidRPr="00D22DCA" w:rsidRDefault="00101B80" w:rsidP="002C73D1">
      <w:pPr>
        <w:rPr>
          <w:rFonts w:ascii="Calibri" w:hAnsi="Calibri" w:cs="Calibri"/>
          <w:color w:val="222222"/>
          <w:shd w:val="clear" w:color="auto" w:fill="FFFFFF"/>
        </w:rPr>
      </w:pPr>
    </w:p>
    <w:p w14:paraId="61335133" w14:textId="4F7A9292" w:rsidR="00101B80" w:rsidRPr="00D22DCA" w:rsidRDefault="00101B80" w:rsidP="00101B80">
      <w:pPr>
        <w:rPr>
          <w:rFonts w:ascii="Calibri" w:hAnsi="Calibri" w:cs="Calibri"/>
          <w:b/>
          <w:bCs/>
          <w:color w:val="222222"/>
          <w:shd w:val="clear" w:color="auto" w:fill="FFFFFF"/>
        </w:rPr>
      </w:pPr>
      <w:r w:rsidRPr="00D22DCA">
        <w:rPr>
          <w:rFonts w:ascii="Calibri" w:hAnsi="Calibri" w:cs="Calibri"/>
          <w:b/>
          <w:bCs/>
          <w:color w:val="222222"/>
          <w:shd w:val="clear" w:color="auto" w:fill="FFFFFF"/>
        </w:rPr>
        <w:t>Response: Thank you for raising this important point</w:t>
      </w:r>
      <w:r w:rsidR="000643B9" w:rsidRPr="00D22DCA">
        <w:rPr>
          <w:rFonts w:ascii="Calibri" w:hAnsi="Calibri" w:cs="Calibri"/>
          <w:b/>
          <w:bCs/>
          <w:color w:val="222222"/>
          <w:shd w:val="clear" w:color="auto" w:fill="FFFFFF"/>
        </w:rPr>
        <w:t>. We agree with your recommendation</w:t>
      </w:r>
      <w:r w:rsidR="009252E3" w:rsidRPr="00D22DCA">
        <w:rPr>
          <w:rFonts w:ascii="Calibri" w:hAnsi="Calibri" w:cs="Calibri"/>
          <w:b/>
          <w:bCs/>
          <w:color w:val="222222"/>
          <w:shd w:val="clear" w:color="auto" w:fill="FFFFFF"/>
        </w:rPr>
        <w:t xml:space="preserve"> </w:t>
      </w:r>
      <w:r w:rsidR="000643B9" w:rsidRPr="00D22DCA">
        <w:rPr>
          <w:rFonts w:ascii="Calibri" w:hAnsi="Calibri" w:cs="Calibri"/>
          <w:b/>
          <w:bCs/>
          <w:color w:val="222222"/>
          <w:shd w:val="clear" w:color="auto" w:fill="FFFFFF"/>
        </w:rPr>
        <w:t>and have modified the abstract to reflect this.</w:t>
      </w:r>
    </w:p>
    <w:p w14:paraId="4A20A3A8" w14:textId="77777777" w:rsidR="00101B80" w:rsidRPr="00D22DCA" w:rsidRDefault="00101B80" w:rsidP="002C73D1">
      <w:pPr>
        <w:rPr>
          <w:rFonts w:ascii="Calibri" w:hAnsi="Calibri" w:cs="Calibri"/>
          <w:color w:val="222222"/>
          <w:shd w:val="clear" w:color="auto" w:fill="FFFFFF"/>
        </w:rPr>
      </w:pPr>
    </w:p>
    <w:p w14:paraId="6EFDCA4F" w14:textId="77777777" w:rsidR="00921094" w:rsidRPr="00D22DCA" w:rsidRDefault="00921094">
      <w:pPr>
        <w:rPr>
          <w:rFonts w:ascii="Calibri" w:hAnsi="Calibri" w:cs="Calibri"/>
          <w:color w:val="000033"/>
        </w:rPr>
      </w:pPr>
      <w:r w:rsidRPr="00D22DCA">
        <w:rPr>
          <w:rFonts w:ascii="Calibri" w:hAnsi="Calibri" w:cs="Calibri"/>
          <w:color w:val="000033"/>
        </w:rPr>
        <w:br w:type="page"/>
      </w:r>
    </w:p>
    <w:p w14:paraId="7EA6E509" w14:textId="19473E39" w:rsidR="0067444A" w:rsidRPr="00D22DCA" w:rsidRDefault="0075187B" w:rsidP="00E45B8A">
      <w:pPr>
        <w:rPr>
          <w:rFonts w:ascii="Calibri" w:hAnsi="Calibri" w:cs="Calibri"/>
        </w:rPr>
      </w:pPr>
      <w:r w:rsidRPr="00D22DCA">
        <w:rPr>
          <w:rFonts w:ascii="Calibri" w:hAnsi="Calibri" w:cs="Calibri"/>
          <w:b/>
          <w:shd w:val="clear" w:color="auto" w:fill="BFBFBF"/>
        </w:rPr>
        <w:lastRenderedPageBreak/>
        <w:t xml:space="preserve"> </w:t>
      </w:r>
      <w:r w:rsidR="00D525B8" w:rsidRPr="00D22DCA">
        <w:rPr>
          <w:rFonts w:ascii="Calibri" w:hAnsi="Calibri" w:cs="Calibri"/>
          <w:b/>
          <w:u w:val="single"/>
          <w:shd w:val="clear" w:color="auto" w:fill="BFBFBF"/>
        </w:rPr>
        <w:t xml:space="preserve">Reviewer </w:t>
      </w:r>
      <w:r w:rsidR="00E45B8A" w:rsidRPr="00D22DCA">
        <w:rPr>
          <w:rFonts w:ascii="Calibri" w:hAnsi="Calibri" w:cs="Calibri"/>
          <w:b/>
          <w:u w:val="single"/>
          <w:shd w:val="clear" w:color="auto" w:fill="BFBFBF"/>
        </w:rPr>
        <w:t>#2</w:t>
      </w:r>
      <w:r w:rsidR="0067444A" w:rsidRPr="00D22DCA">
        <w:rPr>
          <w:rFonts w:ascii="Calibri" w:hAnsi="Calibri" w:cs="Calibri"/>
          <w:b/>
          <w:shd w:val="clear" w:color="auto" w:fill="BFBFBF"/>
        </w:rPr>
        <w:tab/>
      </w:r>
      <w:r w:rsidR="0067444A" w:rsidRPr="00D22DCA">
        <w:rPr>
          <w:rFonts w:ascii="Calibri" w:hAnsi="Calibri" w:cs="Calibri"/>
          <w:b/>
          <w:shd w:val="clear" w:color="auto" w:fill="BFBFBF"/>
        </w:rPr>
        <w:tab/>
      </w:r>
      <w:r w:rsidR="00026A64" w:rsidRPr="00D22DCA">
        <w:rPr>
          <w:rFonts w:ascii="Calibri" w:hAnsi="Calibri" w:cs="Calibri"/>
          <w:b/>
          <w:shd w:val="clear" w:color="auto" w:fill="BFBFBF"/>
        </w:rPr>
        <w:tab/>
      </w:r>
      <w:r w:rsidR="00026A64" w:rsidRPr="00D22DCA">
        <w:rPr>
          <w:rFonts w:ascii="Calibri" w:hAnsi="Calibri" w:cs="Calibri"/>
          <w:b/>
          <w:shd w:val="clear" w:color="auto" w:fill="BFBFBF"/>
        </w:rPr>
        <w:tab/>
      </w:r>
      <w:r w:rsidR="0067444A" w:rsidRPr="00D22DCA">
        <w:rPr>
          <w:rFonts w:ascii="Calibri" w:hAnsi="Calibri" w:cs="Calibri"/>
          <w:b/>
          <w:shd w:val="clear" w:color="auto" w:fill="BFBFBF"/>
        </w:rPr>
        <w:tab/>
      </w:r>
      <w:r w:rsidR="0067444A" w:rsidRPr="00D22DCA">
        <w:rPr>
          <w:rFonts w:ascii="Calibri" w:hAnsi="Calibri" w:cs="Calibri"/>
          <w:b/>
          <w:shd w:val="clear" w:color="auto" w:fill="BFBFBF"/>
        </w:rPr>
        <w:tab/>
      </w:r>
      <w:r w:rsidR="0067444A" w:rsidRPr="00D22DCA">
        <w:rPr>
          <w:rFonts w:ascii="Calibri" w:hAnsi="Calibri" w:cs="Calibri"/>
          <w:b/>
          <w:shd w:val="clear" w:color="auto" w:fill="BFBFBF"/>
        </w:rPr>
        <w:tab/>
      </w:r>
      <w:r w:rsidR="0067444A" w:rsidRPr="00D22DCA">
        <w:rPr>
          <w:rFonts w:ascii="Calibri" w:hAnsi="Calibri" w:cs="Calibri"/>
          <w:b/>
          <w:shd w:val="clear" w:color="auto" w:fill="BFBFBF"/>
        </w:rPr>
        <w:tab/>
      </w:r>
      <w:r w:rsidR="0067444A" w:rsidRPr="00D22DCA">
        <w:rPr>
          <w:rFonts w:ascii="Calibri" w:hAnsi="Calibri" w:cs="Calibri"/>
          <w:b/>
          <w:shd w:val="clear" w:color="auto" w:fill="BFBFBF"/>
        </w:rPr>
        <w:tab/>
      </w:r>
      <w:r w:rsidR="0067444A" w:rsidRPr="00D22DCA">
        <w:rPr>
          <w:rFonts w:ascii="Calibri" w:hAnsi="Calibri" w:cs="Calibri"/>
          <w:b/>
          <w:shd w:val="clear" w:color="auto" w:fill="BFBFBF"/>
        </w:rPr>
        <w:tab/>
      </w:r>
      <w:r w:rsidR="0067444A" w:rsidRPr="00D22DCA">
        <w:rPr>
          <w:rFonts w:ascii="Calibri" w:hAnsi="Calibri" w:cs="Calibri"/>
          <w:b/>
          <w:shd w:val="clear" w:color="auto" w:fill="BFBFBF"/>
        </w:rPr>
        <w:tab/>
      </w:r>
      <w:r w:rsidR="0067444A" w:rsidRPr="00D22DCA">
        <w:rPr>
          <w:rFonts w:ascii="Calibri" w:hAnsi="Calibri" w:cs="Calibri"/>
          <w:b/>
          <w:shd w:val="clear" w:color="auto" w:fill="BFBFBF"/>
        </w:rPr>
        <w:tab/>
      </w:r>
      <w:r w:rsidR="0067444A" w:rsidRPr="00D22DCA">
        <w:rPr>
          <w:rFonts w:ascii="Calibri" w:hAnsi="Calibri" w:cs="Calibri"/>
          <w:b/>
          <w:shd w:val="clear" w:color="auto" w:fill="BFBFBF"/>
        </w:rPr>
        <w:tab/>
      </w:r>
      <w:r w:rsidR="0067444A" w:rsidRPr="00D22DCA">
        <w:rPr>
          <w:rFonts w:ascii="Calibri" w:hAnsi="Calibri" w:cs="Calibri"/>
          <w:b/>
          <w:shd w:val="clear" w:color="auto" w:fill="BFBFBF"/>
        </w:rPr>
        <w:tab/>
      </w:r>
    </w:p>
    <w:p w14:paraId="3B7015EF" w14:textId="5606588D" w:rsidR="007855D5" w:rsidRPr="00D22DCA" w:rsidRDefault="007E7623" w:rsidP="002C73D1">
      <w:pPr>
        <w:rPr>
          <w:rFonts w:ascii="Calibri" w:hAnsi="Calibri" w:cs="Calibri"/>
          <w:color w:val="222222"/>
        </w:rPr>
      </w:pPr>
      <w:r w:rsidRPr="00D22DCA">
        <w:rPr>
          <w:rFonts w:ascii="Calibri" w:hAnsi="Calibri" w:cs="Calibri"/>
          <w:b/>
        </w:rPr>
        <w:br/>
      </w:r>
      <w:r w:rsidR="002C73D1" w:rsidRPr="00D22DCA">
        <w:rPr>
          <w:rFonts w:ascii="Calibri" w:hAnsi="Calibri" w:cs="Calibri"/>
          <w:color w:val="222222"/>
          <w:shd w:val="clear" w:color="auto" w:fill="FFFFFF"/>
        </w:rPr>
        <w:t>Reviewer 2: This is an interesting study evaluating the association between </w:t>
      </w:r>
      <w:r w:rsidR="002C73D1" w:rsidRPr="00D22DCA">
        <w:rPr>
          <w:rStyle w:val="il"/>
          <w:rFonts w:ascii="Calibri" w:hAnsi="Calibri" w:cs="Calibri"/>
          <w:color w:val="222222"/>
          <w:shd w:val="clear" w:color="auto" w:fill="FFFFFF"/>
        </w:rPr>
        <w:t>PPI</w:t>
      </w:r>
      <w:r w:rsidR="002C73D1" w:rsidRPr="00D22DCA">
        <w:rPr>
          <w:rFonts w:ascii="Calibri" w:hAnsi="Calibri" w:cs="Calibri"/>
          <w:color w:val="222222"/>
          <w:shd w:val="clear" w:color="auto" w:fill="FFFFFF"/>
        </w:rPr>
        <w:t> use and all-cause mortality as well as specific adverse outcomes in patients with cirrhosis.</w:t>
      </w:r>
      <w:r w:rsidR="002C73D1" w:rsidRPr="00D22DCA">
        <w:rPr>
          <w:rFonts w:ascii="Calibri" w:hAnsi="Calibri" w:cs="Calibri"/>
          <w:color w:val="222222"/>
        </w:rPr>
        <w:br/>
      </w:r>
      <w:r w:rsidR="002C73D1" w:rsidRPr="00D22DCA">
        <w:rPr>
          <w:rFonts w:ascii="Calibri" w:hAnsi="Calibri" w:cs="Calibri"/>
          <w:color w:val="222222"/>
        </w:rPr>
        <w:br/>
      </w:r>
      <w:r w:rsidR="007855D5" w:rsidRPr="00D22DCA">
        <w:rPr>
          <w:rFonts w:ascii="Calibri" w:hAnsi="Calibri" w:cs="Calibri"/>
          <w:color w:val="222222"/>
          <w:shd w:val="clear" w:color="auto" w:fill="FFFFFF"/>
        </w:rPr>
        <w:t>1</w:t>
      </w:r>
      <w:r w:rsidR="002C73D1" w:rsidRPr="00D22DCA">
        <w:rPr>
          <w:rFonts w:ascii="Calibri" w:hAnsi="Calibri" w:cs="Calibri"/>
          <w:color w:val="222222"/>
          <w:shd w:val="clear" w:color="auto" w:fill="FFFFFF"/>
        </w:rPr>
        <w:t>. It was not clear to me how the authors handled patients who were taking </w:t>
      </w:r>
      <w:r w:rsidR="002C73D1" w:rsidRPr="00D22DCA">
        <w:rPr>
          <w:rStyle w:val="il"/>
          <w:rFonts w:ascii="Calibri" w:hAnsi="Calibri" w:cs="Calibri"/>
          <w:color w:val="222222"/>
          <w:shd w:val="clear" w:color="auto" w:fill="FFFFFF"/>
        </w:rPr>
        <w:t>PPI</w:t>
      </w:r>
      <w:r w:rsidR="002C73D1" w:rsidRPr="00D22DCA">
        <w:rPr>
          <w:rFonts w:ascii="Calibri" w:hAnsi="Calibri" w:cs="Calibri"/>
          <w:color w:val="222222"/>
          <w:shd w:val="clear" w:color="auto" w:fill="FFFFFF"/>
        </w:rPr>
        <w:t> for some of the follow up time but not at other time periods. I presume from the methods if they had not taken </w:t>
      </w:r>
      <w:r w:rsidR="002C73D1" w:rsidRPr="00D22DCA">
        <w:rPr>
          <w:rStyle w:val="il"/>
          <w:rFonts w:ascii="Calibri" w:hAnsi="Calibri" w:cs="Calibri"/>
          <w:color w:val="222222"/>
          <w:shd w:val="clear" w:color="auto" w:fill="FFFFFF"/>
        </w:rPr>
        <w:t>PPIs</w:t>
      </w:r>
      <w:r w:rsidR="002C73D1" w:rsidRPr="00D22DCA">
        <w:rPr>
          <w:rFonts w:ascii="Calibri" w:hAnsi="Calibri" w:cs="Calibri"/>
          <w:color w:val="222222"/>
          <w:shd w:val="clear" w:color="auto" w:fill="FFFFFF"/>
        </w:rPr>
        <w:t> for 90 days they were classified as non-</w:t>
      </w:r>
      <w:r w:rsidR="002C73D1" w:rsidRPr="00D22DCA">
        <w:rPr>
          <w:rStyle w:val="il"/>
          <w:rFonts w:ascii="Calibri" w:hAnsi="Calibri" w:cs="Calibri"/>
          <w:color w:val="222222"/>
          <w:shd w:val="clear" w:color="auto" w:fill="FFFFFF"/>
        </w:rPr>
        <w:t>PPI</w:t>
      </w:r>
      <w:r w:rsidR="002C73D1" w:rsidRPr="00D22DCA">
        <w:rPr>
          <w:rFonts w:ascii="Calibri" w:hAnsi="Calibri" w:cs="Calibri"/>
          <w:color w:val="222222"/>
          <w:shd w:val="clear" w:color="auto" w:fill="FFFFFF"/>
        </w:rPr>
        <w:t> users but how do you handle someone who took </w:t>
      </w:r>
      <w:r w:rsidR="002C73D1" w:rsidRPr="00D22DCA">
        <w:rPr>
          <w:rStyle w:val="il"/>
          <w:rFonts w:ascii="Calibri" w:hAnsi="Calibri" w:cs="Calibri"/>
          <w:color w:val="222222"/>
          <w:shd w:val="clear" w:color="auto" w:fill="FFFFFF"/>
        </w:rPr>
        <w:t>PPIs</w:t>
      </w:r>
      <w:r w:rsidR="002C73D1" w:rsidRPr="00D22DCA">
        <w:rPr>
          <w:rFonts w:ascii="Calibri" w:hAnsi="Calibri" w:cs="Calibri"/>
          <w:color w:val="222222"/>
          <w:shd w:val="clear" w:color="auto" w:fill="FFFFFF"/>
        </w:rPr>
        <w:t> bid for 5 years but stopped 91 days before and then died versus someone who took a few days of </w:t>
      </w:r>
      <w:r w:rsidR="002C73D1" w:rsidRPr="00D22DCA">
        <w:rPr>
          <w:rStyle w:val="il"/>
          <w:rFonts w:ascii="Calibri" w:hAnsi="Calibri" w:cs="Calibri"/>
          <w:color w:val="222222"/>
          <w:shd w:val="clear" w:color="auto" w:fill="FFFFFF"/>
        </w:rPr>
        <w:t>PPI</w:t>
      </w:r>
      <w:r w:rsidR="002C73D1" w:rsidRPr="00D22DCA">
        <w:rPr>
          <w:rFonts w:ascii="Calibri" w:hAnsi="Calibri" w:cs="Calibri"/>
          <w:color w:val="222222"/>
          <w:shd w:val="clear" w:color="auto" w:fill="FFFFFF"/>
        </w:rPr>
        <w:t> 25 days ago?</w:t>
      </w:r>
      <w:r w:rsidR="002C73D1" w:rsidRPr="00D22DCA">
        <w:rPr>
          <w:rFonts w:ascii="Calibri" w:hAnsi="Calibri" w:cs="Calibri"/>
          <w:color w:val="222222"/>
        </w:rPr>
        <w:br/>
      </w:r>
    </w:p>
    <w:p w14:paraId="4C7FF42F" w14:textId="3101B277" w:rsidR="007855D5" w:rsidRPr="00D22DCA" w:rsidRDefault="007855D5" w:rsidP="002C73D1">
      <w:pPr>
        <w:rPr>
          <w:rFonts w:ascii="Calibri" w:hAnsi="Calibri" w:cs="Calibri"/>
          <w:b/>
          <w:bCs/>
          <w:color w:val="222222"/>
          <w:shd w:val="clear" w:color="auto" w:fill="FFFFFF"/>
        </w:rPr>
      </w:pPr>
      <w:r w:rsidRPr="00D22DCA">
        <w:rPr>
          <w:rFonts w:ascii="Calibri" w:hAnsi="Calibri" w:cs="Calibri"/>
          <w:b/>
          <w:bCs/>
          <w:color w:val="222222"/>
          <w:shd w:val="clear" w:color="auto" w:fill="FFFFFF"/>
        </w:rPr>
        <w:t xml:space="preserve">Response: Thank you very much for your detailed and excellent review of our manuscript, and for raising this critical point. We modeled PPI exposure as a time-varying covariate such that for each 1-month follow-up window, there was an indicator of patient PPI exposure, both in terms of binary exposure and omeprazole-equivalent dose exposure. Accumulated observations over time would contribute to effect size estimates for PPI use or non-use. However, you raise a very important point that this approach could miss effects of cumulative exposure and simultaneously </w:t>
      </w:r>
      <w:r w:rsidR="00221CFE" w:rsidRPr="00D22DCA">
        <w:rPr>
          <w:rFonts w:ascii="Calibri" w:hAnsi="Calibri" w:cs="Calibri"/>
          <w:b/>
          <w:bCs/>
          <w:color w:val="222222"/>
          <w:shd w:val="clear" w:color="auto" w:fill="FFFFFF"/>
        </w:rPr>
        <w:t xml:space="preserve">potentially </w:t>
      </w:r>
      <w:r w:rsidRPr="00D22DCA">
        <w:rPr>
          <w:rFonts w:ascii="Calibri" w:hAnsi="Calibri" w:cs="Calibri"/>
          <w:b/>
          <w:bCs/>
          <w:color w:val="222222"/>
          <w:shd w:val="clear" w:color="auto" w:fill="FFFFFF"/>
        </w:rPr>
        <w:t xml:space="preserve">allow for residual confounding by indication. That is, if many patients are newly started on a PPI proximal to an outcome, this could </w:t>
      </w:r>
      <w:r w:rsidR="00221CFE" w:rsidRPr="00D22DCA">
        <w:rPr>
          <w:rFonts w:ascii="Calibri" w:hAnsi="Calibri" w:cs="Calibri"/>
          <w:b/>
          <w:bCs/>
          <w:color w:val="222222"/>
          <w:shd w:val="clear" w:color="auto" w:fill="FFFFFF"/>
        </w:rPr>
        <w:t xml:space="preserve">still </w:t>
      </w:r>
      <w:r w:rsidRPr="00D22DCA">
        <w:rPr>
          <w:rFonts w:ascii="Calibri" w:hAnsi="Calibri" w:cs="Calibri"/>
          <w:b/>
          <w:bCs/>
          <w:color w:val="222222"/>
          <w:shd w:val="clear" w:color="auto" w:fill="FFFFFF"/>
        </w:rPr>
        <w:t>create a spurious association</w:t>
      </w:r>
      <w:r w:rsidR="00221CFE" w:rsidRPr="00D22DCA">
        <w:rPr>
          <w:rFonts w:ascii="Calibri" w:hAnsi="Calibri" w:cs="Calibri"/>
          <w:b/>
          <w:bCs/>
          <w:color w:val="222222"/>
          <w:shd w:val="clear" w:color="auto" w:fill="FFFFFF"/>
        </w:rPr>
        <w:t xml:space="preserve"> between exposure and outcome</w:t>
      </w:r>
      <w:r w:rsidRPr="00D22DCA">
        <w:rPr>
          <w:rFonts w:ascii="Calibri" w:hAnsi="Calibri" w:cs="Calibri"/>
          <w:b/>
          <w:bCs/>
          <w:color w:val="222222"/>
          <w:shd w:val="clear" w:color="auto" w:fill="FFFFFF"/>
        </w:rPr>
        <w:t>.</w:t>
      </w:r>
    </w:p>
    <w:p w14:paraId="16560F51" w14:textId="7E9659B5" w:rsidR="007855D5" w:rsidRPr="00D22DCA" w:rsidRDefault="007855D5" w:rsidP="002C73D1">
      <w:pPr>
        <w:rPr>
          <w:rFonts w:ascii="Calibri" w:hAnsi="Calibri" w:cs="Calibri"/>
          <w:b/>
          <w:bCs/>
          <w:color w:val="222222"/>
          <w:shd w:val="clear" w:color="auto" w:fill="FFFFFF"/>
        </w:rPr>
      </w:pPr>
    </w:p>
    <w:p w14:paraId="68FC794D" w14:textId="0CE6E794" w:rsidR="007855D5" w:rsidRPr="00D22DCA" w:rsidRDefault="007855D5" w:rsidP="002C73D1">
      <w:pPr>
        <w:rPr>
          <w:rFonts w:ascii="Calibri" w:hAnsi="Calibri" w:cs="Calibri"/>
          <w:color w:val="222222"/>
        </w:rPr>
      </w:pPr>
      <w:r w:rsidRPr="00D22DCA">
        <w:rPr>
          <w:rFonts w:ascii="Calibri" w:hAnsi="Calibri" w:cs="Calibri"/>
          <w:b/>
          <w:bCs/>
          <w:color w:val="222222"/>
          <w:shd w:val="clear" w:color="auto" w:fill="FFFFFF"/>
        </w:rPr>
        <w:t>To address this critique</w:t>
      </w:r>
      <w:r w:rsidR="00B10E92" w:rsidRPr="00D22DCA">
        <w:rPr>
          <w:rFonts w:ascii="Calibri" w:hAnsi="Calibri" w:cs="Calibri"/>
          <w:b/>
          <w:bCs/>
          <w:color w:val="222222"/>
          <w:shd w:val="clear" w:color="auto" w:fill="FFFFFF"/>
        </w:rPr>
        <w:t xml:space="preserve"> and explore this issue</w:t>
      </w:r>
      <w:r w:rsidRPr="00D22DCA">
        <w:rPr>
          <w:rFonts w:ascii="Calibri" w:hAnsi="Calibri" w:cs="Calibri"/>
          <w:b/>
          <w:bCs/>
          <w:color w:val="222222"/>
          <w:shd w:val="clear" w:color="auto" w:fill="FFFFFF"/>
        </w:rPr>
        <w:t>, we have added regression analyses of cumulative PPI exposure</w:t>
      </w:r>
      <w:r w:rsidR="00B10E92" w:rsidRPr="00D22DCA">
        <w:rPr>
          <w:rFonts w:ascii="Calibri" w:hAnsi="Calibri" w:cs="Calibri"/>
          <w:b/>
          <w:bCs/>
          <w:color w:val="222222"/>
          <w:shd w:val="clear" w:color="auto" w:fill="FFFFFF"/>
        </w:rPr>
        <w:t xml:space="preserve"> for each outcome</w:t>
      </w:r>
      <w:r w:rsidRPr="00D22DCA">
        <w:rPr>
          <w:rFonts w:ascii="Calibri" w:hAnsi="Calibri" w:cs="Calibri"/>
          <w:b/>
          <w:bCs/>
          <w:color w:val="222222"/>
          <w:shd w:val="clear" w:color="auto" w:fill="FFFFFF"/>
        </w:rPr>
        <w:t>. We computed cumulative PPI exposure in terms of mg-months (omeprazole equivalents) and expressed</w:t>
      </w:r>
      <w:r w:rsidR="00B10E92" w:rsidRPr="00D22DCA">
        <w:rPr>
          <w:rFonts w:ascii="Calibri" w:hAnsi="Calibri" w:cs="Calibri"/>
          <w:b/>
          <w:bCs/>
          <w:color w:val="222222"/>
          <w:shd w:val="clear" w:color="auto" w:fill="FFFFFF"/>
        </w:rPr>
        <w:t xml:space="preserve"> estimates per 320 mg-months. The results were globally </w:t>
      </w:r>
      <w:proofErr w:type="gramStart"/>
      <w:r w:rsidR="00B10E92" w:rsidRPr="00D22DCA">
        <w:rPr>
          <w:rFonts w:ascii="Calibri" w:hAnsi="Calibri" w:cs="Calibri"/>
          <w:b/>
          <w:bCs/>
          <w:color w:val="222222"/>
          <w:shd w:val="clear" w:color="auto" w:fill="FFFFFF"/>
        </w:rPr>
        <w:t>similar to</w:t>
      </w:r>
      <w:proofErr w:type="gramEnd"/>
      <w:r w:rsidR="00B10E92" w:rsidRPr="00D22DCA">
        <w:rPr>
          <w:rFonts w:ascii="Calibri" w:hAnsi="Calibri" w:cs="Calibri"/>
          <w:b/>
          <w:bCs/>
          <w:color w:val="222222"/>
          <w:shd w:val="clear" w:color="auto" w:fill="FFFFFF"/>
        </w:rPr>
        <w:t xml:space="preserve"> the primary analyses, which lend further support to the study findings. </w:t>
      </w:r>
      <w:proofErr w:type="gramStart"/>
      <w:r w:rsidR="00B10E92" w:rsidRPr="00D22DCA">
        <w:rPr>
          <w:rFonts w:ascii="Calibri" w:hAnsi="Calibri" w:cs="Calibri"/>
          <w:b/>
          <w:bCs/>
          <w:color w:val="222222"/>
          <w:shd w:val="clear" w:color="auto" w:fill="FFFFFF"/>
        </w:rPr>
        <w:t>In particular, in</w:t>
      </w:r>
      <w:proofErr w:type="gramEnd"/>
      <w:r w:rsidR="00B10E92" w:rsidRPr="00D22DCA">
        <w:rPr>
          <w:rFonts w:ascii="Calibri" w:hAnsi="Calibri" w:cs="Calibri"/>
          <w:b/>
          <w:bCs/>
          <w:color w:val="222222"/>
          <w:shd w:val="clear" w:color="auto" w:fill="FFFFFF"/>
        </w:rPr>
        <w:t xml:space="preserve"> </w:t>
      </w:r>
      <w:r w:rsidR="00221CFE" w:rsidRPr="00D22DCA">
        <w:rPr>
          <w:rFonts w:ascii="Calibri" w:hAnsi="Calibri" w:cs="Calibri"/>
          <w:b/>
          <w:bCs/>
          <w:color w:val="222222"/>
          <w:shd w:val="clear" w:color="auto" w:fill="FFFFFF"/>
        </w:rPr>
        <w:t xml:space="preserve">infection and decompensation outcomes models, cumulative PPI exposure was associated with an increasing hazard of each outcome. In </w:t>
      </w:r>
      <w:r w:rsidR="00B10E92" w:rsidRPr="00D22DCA">
        <w:rPr>
          <w:rFonts w:ascii="Calibri" w:hAnsi="Calibri" w:cs="Calibri"/>
          <w:b/>
          <w:bCs/>
          <w:color w:val="222222"/>
          <w:shd w:val="clear" w:color="auto" w:fill="FFFFFF"/>
        </w:rPr>
        <w:t xml:space="preserve">the mortality models, </w:t>
      </w:r>
      <w:r w:rsidR="00221CFE" w:rsidRPr="00D22DCA">
        <w:rPr>
          <w:rFonts w:ascii="Calibri" w:hAnsi="Calibri" w:cs="Calibri"/>
          <w:b/>
          <w:bCs/>
          <w:color w:val="222222"/>
          <w:shd w:val="clear" w:color="auto" w:fill="FFFFFF"/>
        </w:rPr>
        <w:t xml:space="preserve">we again identified a statistically significant interaction between </w:t>
      </w:r>
      <w:r w:rsidR="00B10E92" w:rsidRPr="00D22DCA">
        <w:rPr>
          <w:rFonts w:ascii="Calibri" w:hAnsi="Calibri" w:cs="Calibri"/>
          <w:b/>
          <w:bCs/>
          <w:color w:val="222222"/>
          <w:shd w:val="clear" w:color="auto" w:fill="FFFFFF"/>
        </w:rPr>
        <w:t>cumulative PPI exposure and hospitalized GI bleed</w:t>
      </w:r>
      <w:r w:rsidR="00221CFE" w:rsidRPr="00D22DCA">
        <w:rPr>
          <w:rFonts w:ascii="Calibri" w:hAnsi="Calibri" w:cs="Calibri"/>
          <w:b/>
          <w:bCs/>
          <w:color w:val="222222"/>
          <w:shd w:val="clear" w:color="auto" w:fill="FFFFFF"/>
        </w:rPr>
        <w:t>. Cumulative PPI exposure was associated with reduced mortality in patients with hospitalization for GI bleed (</w:t>
      </w:r>
      <w:proofErr w:type="gramStart"/>
      <w:r w:rsidR="00221CFE" w:rsidRPr="00D22DCA">
        <w:rPr>
          <w:rFonts w:ascii="Calibri" w:hAnsi="Calibri" w:cs="Calibri"/>
          <w:b/>
          <w:bCs/>
          <w:color w:val="222222"/>
          <w:shd w:val="clear" w:color="auto" w:fill="FFFFFF"/>
        </w:rPr>
        <w:t>similar to</w:t>
      </w:r>
      <w:proofErr w:type="gramEnd"/>
      <w:r w:rsidR="00221CFE" w:rsidRPr="00D22DCA">
        <w:rPr>
          <w:rFonts w:ascii="Calibri" w:hAnsi="Calibri" w:cs="Calibri"/>
          <w:b/>
          <w:bCs/>
          <w:color w:val="222222"/>
          <w:shd w:val="clear" w:color="auto" w:fill="FFFFFF"/>
        </w:rPr>
        <w:t xml:space="preserve"> the binary PPI exposure model), however in patients without hospitalization for GI bleed there was an increased association with mortality with cumulative PPI exposure (in contrast to the binary PPI exposure model). This suggests that the association between PPI exposure and all-cause mortality may rely on cumulative exposure rather than binary receipt of PPI medication. To reflect these changes, we have made extensive edits to the methods, results, and discussion.</w:t>
      </w:r>
    </w:p>
    <w:p w14:paraId="47134108" w14:textId="712EC22F" w:rsidR="007855D5" w:rsidRPr="00D22DCA" w:rsidRDefault="002C73D1" w:rsidP="002C73D1">
      <w:pPr>
        <w:rPr>
          <w:rFonts w:ascii="Calibri" w:hAnsi="Calibri" w:cs="Calibri"/>
          <w:color w:val="222222"/>
          <w:shd w:val="clear" w:color="auto" w:fill="FFFFFF"/>
        </w:rPr>
      </w:pPr>
      <w:r w:rsidRPr="00D22DCA">
        <w:rPr>
          <w:rFonts w:ascii="Calibri" w:hAnsi="Calibri" w:cs="Calibri"/>
          <w:color w:val="222222"/>
        </w:rPr>
        <w:br/>
      </w:r>
      <w:r w:rsidR="007855D5" w:rsidRPr="00D22DCA">
        <w:rPr>
          <w:rFonts w:ascii="Calibri" w:hAnsi="Calibri" w:cs="Calibri"/>
          <w:color w:val="222222"/>
          <w:shd w:val="clear" w:color="auto" w:fill="FFFFFF"/>
        </w:rPr>
        <w:t>2</w:t>
      </w:r>
      <w:r w:rsidRPr="00D22DCA">
        <w:rPr>
          <w:rFonts w:ascii="Calibri" w:hAnsi="Calibri" w:cs="Calibri"/>
          <w:color w:val="222222"/>
          <w:shd w:val="clear" w:color="auto" w:fill="FFFFFF"/>
        </w:rPr>
        <w:t>. It is unfortunate that the authors cannot classify GI bleeding into peptic ulcer versus other causes.</w:t>
      </w:r>
      <w:r w:rsidRPr="00D22DCA">
        <w:rPr>
          <w:rFonts w:ascii="Calibri" w:hAnsi="Calibri" w:cs="Calibri"/>
          <w:color w:val="222222"/>
        </w:rPr>
        <w:br/>
      </w:r>
    </w:p>
    <w:p w14:paraId="29DC741F" w14:textId="0703CA66" w:rsidR="00FD5DD8" w:rsidRPr="00D22DCA" w:rsidRDefault="00FD5DD8" w:rsidP="002C73D1">
      <w:pPr>
        <w:rPr>
          <w:rFonts w:ascii="Calibri" w:hAnsi="Calibri" w:cs="Calibri"/>
          <w:color w:val="222222"/>
          <w:shd w:val="clear" w:color="auto" w:fill="FFFFFF"/>
        </w:rPr>
      </w:pPr>
      <w:r w:rsidRPr="00D22DCA">
        <w:rPr>
          <w:rFonts w:ascii="Calibri" w:hAnsi="Calibri" w:cs="Calibri"/>
          <w:b/>
          <w:bCs/>
          <w:color w:val="222222"/>
          <w:shd w:val="clear" w:color="auto" w:fill="FFFFFF"/>
        </w:rPr>
        <w:t>Response: Thank you for highlighting this issue. Reviewer #1 raised a similar comment, and in response to these issues we returned to the dataset to obtain detailed classification of PUD versus non-PUD-related GIB based on ICD-9/10 codes. Please see our response to Reviewer #1, Query #2 for expanded details. In brief, however, when we performed a sensitivity analysis where hospitalization for GIB was limited to PUD-related bleeding events, the protective association observed with PPI exposure was intensified. This provides further support that the potential benefit of PPI in patients with hospitalization for GIB is likely mediated through treatment and prevention of PUD. We have updated the methods, results, and discussion to reflect these changes.</w:t>
      </w:r>
    </w:p>
    <w:p w14:paraId="3060A367" w14:textId="77777777" w:rsidR="00FD5DD8" w:rsidRPr="00D22DCA" w:rsidRDefault="00FD5DD8" w:rsidP="002C73D1">
      <w:pPr>
        <w:rPr>
          <w:rFonts w:ascii="Calibri" w:hAnsi="Calibri" w:cs="Calibri"/>
          <w:color w:val="222222"/>
          <w:shd w:val="clear" w:color="auto" w:fill="FFFFFF"/>
        </w:rPr>
      </w:pPr>
    </w:p>
    <w:p w14:paraId="5B43EE98" w14:textId="271E3508" w:rsidR="007855D5" w:rsidRPr="00D22DCA" w:rsidRDefault="007855D5" w:rsidP="002C73D1">
      <w:pPr>
        <w:rPr>
          <w:rFonts w:ascii="Calibri" w:hAnsi="Calibri" w:cs="Calibri"/>
          <w:color w:val="222222"/>
          <w:shd w:val="clear" w:color="auto" w:fill="FFFFFF"/>
        </w:rPr>
      </w:pPr>
      <w:r w:rsidRPr="00D22DCA">
        <w:rPr>
          <w:rFonts w:ascii="Calibri" w:hAnsi="Calibri" w:cs="Calibri"/>
          <w:color w:val="222222"/>
          <w:shd w:val="clear" w:color="auto" w:fill="FFFFFF"/>
        </w:rPr>
        <w:t>3</w:t>
      </w:r>
      <w:r w:rsidR="002C73D1" w:rsidRPr="00D22DCA">
        <w:rPr>
          <w:rFonts w:ascii="Calibri" w:hAnsi="Calibri" w:cs="Calibri"/>
          <w:color w:val="222222"/>
          <w:shd w:val="clear" w:color="auto" w:fill="FFFFFF"/>
        </w:rPr>
        <w:t>. It would be helpful if the authors could adjust for the indication for </w:t>
      </w:r>
      <w:r w:rsidR="002C73D1" w:rsidRPr="00D22DCA">
        <w:rPr>
          <w:rStyle w:val="il"/>
          <w:rFonts w:ascii="Calibri" w:hAnsi="Calibri" w:cs="Calibri"/>
          <w:color w:val="222222"/>
          <w:shd w:val="clear" w:color="auto" w:fill="FFFFFF"/>
        </w:rPr>
        <w:t>PPI</w:t>
      </w:r>
      <w:r w:rsidR="002C73D1" w:rsidRPr="00D22DCA">
        <w:rPr>
          <w:rFonts w:ascii="Calibri" w:hAnsi="Calibri" w:cs="Calibri"/>
          <w:color w:val="222222"/>
          <w:shd w:val="clear" w:color="auto" w:fill="FFFFFF"/>
        </w:rPr>
        <w:t> use.</w:t>
      </w:r>
      <w:r w:rsidR="002C73D1" w:rsidRPr="00D22DCA">
        <w:rPr>
          <w:rFonts w:ascii="Calibri" w:hAnsi="Calibri" w:cs="Calibri"/>
          <w:color w:val="222222"/>
        </w:rPr>
        <w:br/>
      </w:r>
    </w:p>
    <w:p w14:paraId="4CE54E92" w14:textId="709A2613" w:rsidR="00E710F9" w:rsidRPr="00D22DCA" w:rsidRDefault="00E710F9" w:rsidP="002C73D1">
      <w:pPr>
        <w:rPr>
          <w:rFonts w:ascii="Calibri" w:hAnsi="Calibri" w:cs="Calibri"/>
          <w:color w:val="222222"/>
          <w:shd w:val="clear" w:color="auto" w:fill="FFFFFF"/>
        </w:rPr>
      </w:pPr>
      <w:r w:rsidRPr="00D22DCA">
        <w:rPr>
          <w:rFonts w:ascii="Calibri" w:hAnsi="Calibri" w:cs="Calibri"/>
          <w:b/>
          <w:bCs/>
          <w:color w:val="222222"/>
          <w:shd w:val="clear" w:color="auto" w:fill="FFFFFF"/>
        </w:rPr>
        <w:t xml:space="preserve">Response: Thank you again for raising this issue. </w:t>
      </w:r>
      <w:r w:rsidR="009D3782" w:rsidRPr="00D22DCA">
        <w:rPr>
          <w:rFonts w:ascii="Calibri" w:hAnsi="Calibri" w:cs="Calibri"/>
          <w:b/>
          <w:bCs/>
          <w:color w:val="222222"/>
          <w:shd w:val="clear" w:color="auto" w:fill="FFFFFF"/>
        </w:rPr>
        <w:t xml:space="preserve">Although we were not able to explicitly adjust for PPI indication, we did account for many associated comorbidities in the inverse probability treatment weighting approach. Furthermore, in new sensitivity analyses now included in the revised manuscript (see response to Reviewer #1, Query #2), it is likely that many patients with hospitalization for GIB are receiving PPI for the </w:t>
      </w:r>
      <w:r w:rsidR="009D3782" w:rsidRPr="00D22DCA">
        <w:rPr>
          <w:rFonts w:ascii="Calibri" w:hAnsi="Calibri" w:cs="Calibri"/>
          <w:b/>
          <w:bCs/>
          <w:color w:val="222222"/>
          <w:shd w:val="clear" w:color="auto" w:fill="FFFFFF"/>
        </w:rPr>
        <w:lastRenderedPageBreak/>
        <w:t xml:space="preserve">management of PUD. We of course acknowledge your important point that residual confounding is likely and may bias results despite our best efforts. </w:t>
      </w:r>
      <w:proofErr w:type="gramStart"/>
      <w:r w:rsidR="009D3782" w:rsidRPr="00D22DCA">
        <w:rPr>
          <w:rFonts w:ascii="Calibri" w:hAnsi="Calibri" w:cs="Calibri"/>
          <w:b/>
          <w:bCs/>
          <w:color w:val="222222"/>
          <w:shd w:val="clear" w:color="auto" w:fill="FFFFFF"/>
        </w:rPr>
        <w:t>Therefore</w:t>
      </w:r>
      <w:proofErr w:type="gramEnd"/>
      <w:r w:rsidR="009D3782" w:rsidRPr="00D22DCA">
        <w:rPr>
          <w:rFonts w:ascii="Calibri" w:hAnsi="Calibri" w:cs="Calibri"/>
          <w:b/>
          <w:bCs/>
          <w:color w:val="222222"/>
          <w:shd w:val="clear" w:color="auto" w:fill="FFFFFF"/>
        </w:rPr>
        <w:t xml:space="preserve"> we have expanded on the limitations section to better address this:</w:t>
      </w:r>
    </w:p>
    <w:p w14:paraId="79CC27A2" w14:textId="58041F4A" w:rsidR="00E710F9" w:rsidRPr="00D22DCA" w:rsidRDefault="00E710F9" w:rsidP="002C73D1">
      <w:pPr>
        <w:rPr>
          <w:rFonts w:ascii="Calibri" w:hAnsi="Calibri" w:cs="Calibri"/>
          <w:color w:val="222222"/>
          <w:shd w:val="clear" w:color="auto" w:fill="FFFFFF"/>
        </w:rPr>
      </w:pPr>
    </w:p>
    <w:p w14:paraId="31314A0D" w14:textId="08926E75" w:rsidR="009D3782" w:rsidRPr="00D22DCA" w:rsidRDefault="009D3782" w:rsidP="009D3782">
      <w:pPr>
        <w:ind w:left="720" w:right="720"/>
        <w:rPr>
          <w:rFonts w:ascii="Calibri" w:hAnsi="Calibri" w:cs="Calibri"/>
          <w:b/>
          <w:bCs/>
          <w:i/>
          <w:iCs/>
          <w:color w:val="222222"/>
          <w:shd w:val="clear" w:color="auto" w:fill="FFFFFF"/>
        </w:rPr>
      </w:pPr>
      <w:r w:rsidRPr="00D22DCA">
        <w:rPr>
          <w:rFonts w:ascii="Calibri" w:hAnsi="Calibri" w:cs="Calibri"/>
          <w:b/>
          <w:bCs/>
          <w:i/>
          <w:iCs/>
          <w:color w:val="222222"/>
          <w:shd w:val="clear" w:color="auto" w:fill="FFFFFF"/>
        </w:rPr>
        <w:t>“Sixth, based on data limitations we were not able to explicitly adjust for specific indications for PPI prescription. While we accounted for numerous potentially associated comorbidities in IPTW adjustment, and sensitivity analyses suggest that PPI use in selected patients with GIB was for management of PUD, residual confounding by indication is possible.”</w:t>
      </w:r>
    </w:p>
    <w:p w14:paraId="5AA4018B" w14:textId="77777777" w:rsidR="009D3782" w:rsidRPr="00D22DCA" w:rsidRDefault="009D3782" w:rsidP="002C73D1">
      <w:pPr>
        <w:rPr>
          <w:rFonts w:ascii="Calibri" w:hAnsi="Calibri" w:cs="Calibri"/>
          <w:color w:val="222222"/>
          <w:shd w:val="clear" w:color="auto" w:fill="FFFFFF"/>
        </w:rPr>
      </w:pPr>
    </w:p>
    <w:p w14:paraId="12E9A9B6" w14:textId="786277D7" w:rsidR="007855D5" w:rsidRPr="00D22DCA" w:rsidRDefault="007855D5" w:rsidP="002C73D1">
      <w:pPr>
        <w:rPr>
          <w:rFonts w:ascii="Calibri" w:hAnsi="Calibri" w:cs="Calibri"/>
          <w:color w:val="222222"/>
          <w:shd w:val="clear" w:color="auto" w:fill="FFFFFF"/>
        </w:rPr>
      </w:pPr>
      <w:r w:rsidRPr="00D22DCA">
        <w:rPr>
          <w:rFonts w:ascii="Calibri" w:hAnsi="Calibri" w:cs="Calibri"/>
          <w:color w:val="222222"/>
          <w:shd w:val="clear" w:color="auto" w:fill="FFFFFF"/>
        </w:rPr>
        <w:t>4</w:t>
      </w:r>
      <w:r w:rsidR="002C73D1" w:rsidRPr="00D22DCA">
        <w:rPr>
          <w:rFonts w:ascii="Calibri" w:hAnsi="Calibri" w:cs="Calibri"/>
          <w:color w:val="222222"/>
          <w:shd w:val="clear" w:color="auto" w:fill="FFFFFF"/>
        </w:rPr>
        <w:t>. Infections were associated with </w:t>
      </w:r>
      <w:r w:rsidR="002C73D1" w:rsidRPr="00D22DCA">
        <w:rPr>
          <w:rStyle w:val="il"/>
          <w:rFonts w:ascii="Calibri" w:hAnsi="Calibri" w:cs="Calibri"/>
          <w:color w:val="222222"/>
          <w:shd w:val="clear" w:color="auto" w:fill="FFFFFF"/>
        </w:rPr>
        <w:t>PPI</w:t>
      </w:r>
      <w:r w:rsidR="002C73D1" w:rsidRPr="00D22DCA">
        <w:rPr>
          <w:rFonts w:ascii="Calibri" w:hAnsi="Calibri" w:cs="Calibri"/>
          <w:color w:val="222222"/>
          <w:shd w:val="clear" w:color="auto" w:fill="FFFFFF"/>
        </w:rPr>
        <w:t> use. Given this it would be important to adjust for antibiotic use - especially as some of these patients may have been on long term antibiotic prophylaxis.</w:t>
      </w:r>
      <w:r w:rsidR="002C73D1" w:rsidRPr="00D22DCA">
        <w:rPr>
          <w:rFonts w:ascii="Calibri" w:hAnsi="Calibri" w:cs="Calibri"/>
          <w:color w:val="222222"/>
        </w:rPr>
        <w:br/>
      </w:r>
    </w:p>
    <w:p w14:paraId="749C7494" w14:textId="6268A03C" w:rsidR="009D3782" w:rsidRPr="00D22DCA" w:rsidRDefault="009D3782" w:rsidP="002C73D1">
      <w:pPr>
        <w:rPr>
          <w:rFonts w:ascii="Calibri" w:hAnsi="Calibri" w:cs="Calibri"/>
          <w:b/>
          <w:bCs/>
          <w:color w:val="222222"/>
          <w:shd w:val="clear" w:color="auto" w:fill="FFFFFF"/>
        </w:rPr>
      </w:pPr>
      <w:r w:rsidRPr="00D22DCA">
        <w:rPr>
          <w:rFonts w:ascii="Calibri" w:hAnsi="Calibri" w:cs="Calibri"/>
          <w:b/>
          <w:bCs/>
          <w:color w:val="222222"/>
          <w:shd w:val="clear" w:color="auto" w:fill="FFFFFF"/>
        </w:rPr>
        <w:t>Response: Thank you very much for this thoughtful critique. We acknowledge this important point. Unfortunately, we do not have readily available outpatient antibiotic data available in the cohort to address this.</w:t>
      </w:r>
      <w:r w:rsidR="003B62F4" w:rsidRPr="00D22DCA">
        <w:rPr>
          <w:rFonts w:ascii="Calibri" w:hAnsi="Calibri" w:cs="Calibri"/>
          <w:b/>
          <w:bCs/>
          <w:color w:val="222222"/>
          <w:shd w:val="clear" w:color="auto" w:fill="FFFFFF"/>
        </w:rPr>
        <w:t xml:space="preserve"> However, to abolish the observed effect size through confounding by prophylactic antibiotic use, PPI exposure would have to be inversely associated with antibiotic use, which we regard to be unlikely. The effect sizes observed in the study may therefore be conservative without adjustment for prophylactic antibiotics. </w:t>
      </w:r>
      <w:r w:rsidRPr="00D22DCA">
        <w:rPr>
          <w:rFonts w:ascii="Calibri" w:hAnsi="Calibri" w:cs="Calibri"/>
          <w:b/>
          <w:bCs/>
          <w:color w:val="222222"/>
          <w:shd w:val="clear" w:color="auto" w:fill="FFFFFF"/>
        </w:rPr>
        <w:t>To address your important point, we have expanded the limitations section to specifically state that antibiotic data were not available for adjustment.</w:t>
      </w:r>
    </w:p>
    <w:p w14:paraId="4B6A711E" w14:textId="77777777" w:rsidR="009D3782" w:rsidRPr="00D22DCA" w:rsidRDefault="009D3782" w:rsidP="002C73D1">
      <w:pPr>
        <w:rPr>
          <w:rFonts w:ascii="Calibri" w:hAnsi="Calibri" w:cs="Calibri"/>
          <w:color w:val="222222"/>
          <w:shd w:val="clear" w:color="auto" w:fill="FFFFFF"/>
        </w:rPr>
      </w:pPr>
    </w:p>
    <w:p w14:paraId="3912B6B3" w14:textId="77777777" w:rsidR="00B10E92" w:rsidRPr="00D22DCA" w:rsidRDefault="007855D5" w:rsidP="002C73D1">
      <w:pPr>
        <w:rPr>
          <w:rFonts w:ascii="Calibri" w:hAnsi="Calibri" w:cs="Calibri"/>
          <w:color w:val="222222"/>
          <w:shd w:val="clear" w:color="auto" w:fill="FFFFFF"/>
        </w:rPr>
      </w:pPr>
      <w:r w:rsidRPr="00D22DCA">
        <w:rPr>
          <w:rFonts w:ascii="Calibri" w:hAnsi="Calibri" w:cs="Calibri"/>
          <w:color w:val="222222"/>
          <w:shd w:val="clear" w:color="auto" w:fill="FFFFFF"/>
        </w:rPr>
        <w:t>5</w:t>
      </w:r>
      <w:r w:rsidR="002C73D1" w:rsidRPr="00D22DCA">
        <w:rPr>
          <w:rFonts w:ascii="Calibri" w:hAnsi="Calibri" w:cs="Calibri"/>
          <w:color w:val="222222"/>
          <w:shd w:val="clear" w:color="auto" w:fill="FFFFFF"/>
        </w:rPr>
        <w:t>. Given the concern raised in point 2, another sensitivity analysis that might be useful is to compare those who have no </w:t>
      </w:r>
      <w:r w:rsidR="002C73D1" w:rsidRPr="00D22DCA">
        <w:rPr>
          <w:rStyle w:val="il"/>
          <w:rFonts w:ascii="Calibri" w:hAnsi="Calibri" w:cs="Calibri"/>
          <w:color w:val="222222"/>
          <w:shd w:val="clear" w:color="auto" w:fill="FFFFFF"/>
        </w:rPr>
        <w:t>PPI</w:t>
      </w:r>
      <w:r w:rsidR="002C73D1" w:rsidRPr="00D22DCA">
        <w:rPr>
          <w:rFonts w:ascii="Calibri" w:hAnsi="Calibri" w:cs="Calibri"/>
          <w:color w:val="222222"/>
          <w:shd w:val="clear" w:color="auto" w:fill="FFFFFF"/>
        </w:rPr>
        <w:t> throughout follow up and look at risk with different burdens of </w:t>
      </w:r>
      <w:r w:rsidR="002C73D1" w:rsidRPr="00D22DCA">
        <w:rPr>
          <w:rStyle w:val="il"/>
          <w:rFonts w:ascii="Calibri" w:hAnsi="Calibri" w:cs="Calibri"/>
          <w:color w:val="222222"/>
          <w:shd w:val="clear" w:color="auto" w:fill="FFFFFF"/>
        </w:rPr>
        <w:t>PPI</w:t>
      </w:r>
      <w:r w:rsidR="002C73D1" w:rsidRPr="00D22DCA">
        <w:rPr>
          <w:rFonts w:ascii="Calibri" w:hAnsi="Calibri" w:cs="Calibri"/>
          <w:color w:val="222222"/>
          <w:shd w:val="clear" w:color="auto" w:fill="FFFFFF"/>
        </w:rPr>
        <w:t> use (a bit like pack years of smoking).</w:t>
      </w:r>
    </w:p>
    <w:p w14:paraId="4587BFD2" w14:textId="77777777" w:rsidR="00B10E92" w:rsidRPr="00D22DCA" w:rsidRDefault="00B10E92" w:rsidP="002C73D1">
      <w:pPr>
        <w:rPr>
          <w:rFonts w:ascii="Calibri" w:hAnsi="Calibri" w:cs="Calibri"/>
          <w:color w:val="222222"/>
          <w:shd w:val="clear" w:color="auto" w:fill="FFFFFF"/>
        </w:rPr>
      </w:pPr>
    </w:p>
    <w:p w14:paraId="271BFD89" w14:textId="1890E402" w:rsidR="007855D5" w:rsidRPr="00D22DCA" w:rsidRDefault="00B10E92" w:rsidP="002C73D1">
      <w:pPr>
        <w:rPr>
          <w:rFonts w:ascii="Calibri" w:hAnsi="Calibri" w:cs="Calibri"/>
          <w:color w:val="222222"/>
          <w:shd w:val="clear" w:color="auto" w:fill="FFFFFF"/>
        </w:rPr>
      </w:pPr>
      <w:r w:rsidRPr="00D22DCA">
        <w:rPr>
          <w:rFonts w:ascii="Calibri" w:hAnsi="Calibri" w:cs="Calibri"/>
          <w:b/>
          <w:bCs/>
          <w:color w:val="222222"/>
          <w:shd w:val="clear" w:color="auto" w:fill="FFFFFF"/>
        </w:rPr>
        <w:t>Response: Thank you again for this excellent suggestion</w:t>
      </w:r>
      <w:r w:rsidR="00E710F9" w:rsidRPr="00D22DCA">
        <w:rPr>
          <w:rFonts w:ascii="Calibri" w:hAnsi="Calibri" w:cs="Calibri"/>
          <w:b/>
          <w:bCs/>
          <w:color w:val="222222"/>
          <w:shd w:val="clear" w:color="auto" w:fill="FFFFFF"/>
        </w:rPr>
        <w:t>. As recommended, we have incorporated this analysis into the manuscript for all outcomes (see response to your Query #1). This has led to new insights which are now reflected in the discussion.</w:t>
      </w:r>
      <w:r w:rsidR="002C73D1" w:rsidRPr="00D22DCA">
        <w:rPr>
          <w:rFonts w:ascii="Calibri" w:hAnsi="Calibri" w:cs="Calibri"/>
          <w:color w:val="222222"/>
        </w:rPr>
        <w:br/>
      </w:r>
    </w:p>
    <w:p w14:paraId="6D1A5A84" w14:textId="70EF4AF8" w:rsidR="002C73D1" w:rsidRPr="00D22DCA" w:rsidRDefault="007855D5" w:rsidP="002C73D1">
      <w:pPr>
        <w:rPr>
          <w:rFonts w:ascii="Calibri" w:hAnsi="Calibri" w:cs="Calibri"/>
        </w:rPr>
      </w:pPr>
      <w:r w:rsidRPr="00D22DCA">
        <w:rPr>
          <w:rFonts w:ascii="Calibri" w:hAnsi="Calibri" w:cs="Calibri"/>
          <w:color w:val="222222"/>
          <w:shd w:val="clear" w:color="auto" w:fill="FFFFFF"/>
        </w:rPr>
        <w:t>6</w:t>
      </w:r>
      <w:r w:rsidR="002C73D1" w:rsidRPr="00D22DCA">
        <w:rPr>
          <w:rFonts w:ascii="Calibri" w:hAnsi="Calibri" w:cs="Calibri"/>
          <w:color w:val="222222"/>
          <w:shd w:val="clear" w:color="auto" w:fill="FFFFFF"/>
        </w:rPr>
        <w:t>. Cause and effect is always difficult to determine from observational studies. It is particularly challenging in this case with competing "harms" and "benefits". How did the authors determine that the increase in infections seen in cirrhosis patients with </w:t>
      </w:r>
      <w:r w:rsidR="002C73D1" w:rsidRPr="00D22DCA">
        <w:rPr>
          <w:rStyle w:val="il"/>
          <w:rFonts w:ascii="Calibri" w:hAnsi="Calibri" w:cs="Calibri"/>
          <w:color w:val="222222"/>
          <w:shd w:val="clear" w:color="auto" w:fill="FFFFFF"/>
        </w:rPr>
        <w:t>PPI</w:t>
      </w:r>
      <w:r w:rsidR="002C73D1" w:rsidRPr="00D22DCA">
        <w:rPr>
          <w:rFonts w:ascii="Calibri" w:hAnsi="Calibri" w:cs="Calibri"/>
          <w:color w:val="222222"/>
          <w:shd w:val="clear" w:color="auto" w:fill="FFFFFF"/>
        </w:rPr>
        <w:t> therapy was not because they had been prevented from dying of a GI bleed and therefore developed something else cirrhosis predisposes to (e.g. SBP)? The opposite is also true how do they know that </w:t>
      </w:r>
      <w:r w:rsidR="002C73D1" w:rsidRPr="00D22DCA">
        <w:rPr>
          <w:rStyle w:val="il"/>
          <w:rFonts w:ascii="Calibri" w:hAnsi="Calibri" w:cs="Calibri"/>
          <w:color w:val="222222"/>
          <w:shd w:val="clear" w:color="auto" w:fill="FFFFFF"/>
        </w:rPr>
        <w:t>PPIs</w:t>
      </w:r>
      <w:r w:rsidR="002C73D1" w:rsidRPr="00D22DCA">
        <w:rPr>
          <w:rFonts w:ascii="Calibri" w:hAnsi="Calibri" w:cs="Calibri"/>
          <w:color w:val="222222"/>
          <w:shd w:val="clear" w:color="auto" w:fill="FFFFFF"/>
        </w:rPr>
        <w:t> cause SBP and the patient dies from this preventing them from having a GI bleed. The possibility that these are just competing causes of mortality is suggested by the HR being almost 1 when looking at all-cause mortality (1.04 but this small increase is probably residual confounding).</w:t>
      </w:r>
    </w:p>
    <w:p w14:paraId="7708AC2E" w14:textId="0E8022D0" w:rsidR="00477BF5" w:rsidRPr="00D22DCA" w:rsidRDefault="00477BF5" w:rsidP="002C73D1">
      <w:pPr>
        <w:rPr>
          <w:rFonts w:ascii="Calibri" w:eastAsiaTheme="minorHAnsi" w:hAnsi="Calibri" w:cs="Calibri"/>
        </w:rPr>
      </w:pPr>
    </w:p>
    <w:p w14:paraId="24B2AACD" w14:textId="1F1605F3" w:rsidR="009D3782" w:rsidRPr="00D22DCA" w:rsidRDefault="009D3782" w:rsidP="009D3782">
      <w:pPr>
        <w:rPr>
          <w:rFonts w:ascii="Calibri" w:hAnsi="Calibri" w:cs="Calibri"/>
          <w:b/>
          <w:bCs/>
          <w:color w:val="222222"/>
          <w:shd w:val="clear" w:color="auto" w:fill="FFFFFF"/>
        </w:rPr>
      </w:pPr>
      <w:r w:rsidRPr="00D22DCA">
        <w:rPr>
          <w:rFonts w:ascii="Calibri" w:hAnsi="Calibri" w:cs="Calibri"/>
          <w:b/>
          <w:bCs/>
          <w:color w:val="222222"/>
          <w:shd w:val="clear" w:color="auto" w:fill="FFFFFF"/>
        </w:rPr>
        <w:t xml:space="preserve">Response: Thank you very much for this very insightful comment. We agree that this is a challenging issue. We attempted to address this in part through the exploratory analyses of cause-specific mortality (liver-related versus non-liver related), as well as through visualization of sequence of outcomes in the Sankey diagram. While the overall potential increase in all-cause mortality observed with PPI exposure in patients without GIB was very small (close to HR 1, as you point out), there was divergence in liver-related (HR 1.23) and non-liver related mortality (0.88). These likely “offset” in the cohort to bring the overall estimate closer to an HR of 1. </w:t>
      </w:r>
      <w:proofErr w:type="gramStart"/>
      <w:r w:rsidRPr="00D22DCA">
        <w:rPr>
          <w:rFonts w:ascii="Calibri" w:hAnsi="Calibri" w:cs="Calibri"/>
          <w:b/>
          <w:bCs/>
          <w:color w:val="222222"/>
          <w:shd w:val="clear" w:color="auto" w:fill="FFFFFF"/>
        </w:rPr>
        <w:t>In light of</w:t>
      </w:r>
      <w:proofErr w:type="gramEnd"/>
      <w:r w:rsidRPr="00D22DCA">
        <w:rPr>
          <w:rFonts w:ascii="Calibri" w:hAnsi="Calibri" w:cs="Calibri"/>
          <w:b/>
          <w:bCs/>
          <w:color w:val="222222"/>
          <w:shd w:val="clear" w:color="auto" w:fill="FFFFFF"/>
        </w:rPr>
        <w:t xml:space="preserve"> these findings, however, it becomes more plausible that the adverse events of decompensation and infection (which are associated with PPI exposure) could be mediators of liver-related mortality. Finally, regarding your specific point that increased infection associated with PPI could be confounded by the presence of GIB, we would highlight that hospitalization for GIB was included in all models as a time-updating confounder, which reduces the likelihood that the observed effect was related to PPI allowing for survival from GIB but residual risk for infection. </w:t>
      </w:r>
    </w:p>
    <w:p w14:paraId="64C4464C" w14:textId="58C9CF6A" w:rsidR="009D3782" w:rsidRPr="00D22DCA" w:rsidRDefault="009D3782" w:rsidP="002C73D1">
      <w:pPr>
        <w:rPr>
          <w:rFonts w:ascii="Calibri" w:eastAsiaTheme="minorHAnsi" w:hAnsi="Calibri" w:cs="Calibri"/>
        </w:rPr>
      </w:pPr>
    </w:p>
    <w:p w14:paraId="5126EE5F" w14:textId="77777777" w:rsidR="009D3782" w:rsidRPr="00D22DCA" w:rsidRDefault="009D3782" w:rsidP="002C73D1">
      <w:pPr>
        <w:rPr>
          <w:rFonts w:ascii="Calibri" w:eastAsiaTheme="minorHAnsi" w:hAnsi="Calibri" w:cs="Calibri"/>
        </w:rPr>
      </w:pPr>
    </w:p>
    <w:p w14:paraId="23F6D2D5" w14:textId="430CCD49" w:rsidR="002C73D1" w:rsidRPr="00D22DCA" w:rsidRDefault="002C73D1" w:rsidP="002C73D1">
      <w:pPr>
        <w:rPr>
          <w:rFonts w:ascii="Calibri" w:hAnsi="Calibri" w:cs="Calibri"/>
        </w:rPr>
      </w:pPr>
      <w:r w:rsidRPr="00D22DCA">
        <w:rPr>
          <w:rFonts w:ascii="Calibri" w:hAnsi="Calibri" w:cs="Calibri"/>
          <w:b/>
          <w:u w:val="single"/>
          <w:shd w:val="clear" w:color="auto" w:fill="BFBFBF"/>
        </w:rPr>
        <w:t>Reviewer #3</w:t>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r w:rsidRPr="00D22DCA">
        <w:rPr>
          <w:rFonts w:ascii="Calibri" w:hAnsi="Calibri" w:cs="Calibri"/>
          <w:b/>
          <w:shd w:val="clear" w:color="auto" w:fill="BFBFBF"/>
        </w:rPr>
        <w:tab/>
      </w:r>
    </w:p>
    <w:p w14:paraId="25901809" w14:textId="5D2C3173" w:rsidR="002C73D1" w:rsidRPr="00D22DCA" w:rsidRDefault="002C73D1" w:rsidP="002C73D1">
      <w:pPr>
        <w:rPr>
          <w:rFonts w:ascii="Calibri" w:eastAsiaTheme="minorHAnsi" w:hAnsi="Calibri" w:cs="Calibri"/>
        </w:rPr>
      </w:pPr>
    </w:p>
    <w:p w14:paraId="2714D164" w14:textId="36B0F6DB" w:rsidR="002C73D1" w:rsidRPr="00D22DCA" w:rsidRDefault="002C73D1" w:rsidP="002C73D1">
      <w:pPr>
        <w:rPr>
          <w:rFonts w:ascii="Calibri" w:hAnsi="Calibri" w:cs="Calibri"/>
          <w:color w:val="222222"/>
          <w:shd w:val="clear" w:color="auto" w:fill="FFFFFF"/>
        </w:rPr>
      </w:pPr>
      <w:r w:rsidRPr="00D22DCA">
        <w:rPr>
          <w:rFonts w:ascii="Calibri" w:hAnsi="Calibri" w:cs="Calibri"/>
          <w:color w:val="222222"/>
          <w:shd w:val="clear" w:color="auto" w:fill="FFFFFF"/>
        </w:rPr>
        <w:t>1. The paper deals with the safety of proton pump inhibitory (</w:t>
      </w:r>
      <w:r w:rsidRPr="00D22DCA">
        <w:rPr>
          <w:rStyle w:val="il"/>
          <w:rFonts w:ascii="Calibri" w:hAnsi="Calibri" w:cs="Calibri"/>
          <w:color w:val="222222"/>
          <w:shd w:val="clear" w:color="auto" w:fill="FFFFFF"/>
        </w:rPr>
        <w:t>PPIs</w:t>
      </w:r>
      <w:r w:rsidRPr="00D22DCA">
        <w:rPr>
          <w:rFonts w:ascii="Calibri" w:hAnsi="Calibri" w:cs="Calibri"/>
          <w:color w:val="222222"/>
          <w:shd w:val="clear" w:color="auto" w:fill="FFFFFF"/>
        </w:rPr>
        <w:t>) used in cirrhotic patients. The topic is certainly important, indeed the impact of </w:t>
      </w:r>
      <w:r w:rsidRPr="00D22DCA">
        <w:rPr>
          <w:rStyle w:val="il"/>
          <w:rFonts w:ascii="Calibri" w:hAnsi="Calibri" w:cs="Calibri"/>
          <w:color w:val="222222"/>
          <w:shd w:val="clear" w:color="auto" w:fill="FFFFFF"/>
        </w:rPr>
        <w:t>PPI</w:t>
      </w:r>
      <w:r w:rsidRPr="00D22DCA">
        <w:rPr>
          <w:rFonts w:ascii="Calibri" w:hAnsi="Calibri" w:cs="Calibri"/>
          <w:color w:val="222222"/>
          <w:shd w:val="clear" w:color="auto" w:fill="FFFFFF"/>
        </w:rPr>
        <w:t> medications on adverse outcomes in patients with cirrhosis remains controversial. This study evaluating the impact of </w:t>
      </w:r>
      <w:r w:rsidRPr="00D22DCA">
        <w:rPr>
          <w:rStyle w:val="il"/>
          <w:rFonts w:ascii="Calibri" w:hAnsi="Calibri" w:cs="Calibri"/>
          <w:color w:val="222222"/>
          <w:shd w:val="clear" w:color="auto" w:fill="FFFFFF"/>
        </w:rPr>
        <w:t>PPI</w:t>
      </w:r>
      <w:r w:rsidRPr="00D22DCA">
        <w:rPr>
          <w:rFonts w:ascii="Calibri" w:hAnsi="Calibri" w:cs="Calibri"/>
          <w:color w:val="222222"/>
          <w:shd w:val="clear" w:color="auto" w:fill="FFFFFF"/>
        </w:rPr>
        <w:t> exposure in a large cohort of cirrhotic patients from the veterans' health administration might bridge the gap of previous results generally determined from small sample sizes. However, in the reviewer's opinion the paper as it now stands is not ready to be published, as there are important aspects to be re-</w:t>
      </w:r>
      <w:proofErr w:type="spellStart"/>
      <w:r w:rsidRPr="00D22DCA">
        <w:rPr>
          <w:rFonts w:ascii="Calibri" w:hAnsi="Calibri" w:cs="Calibri"/>
          <w:color w:val="222222"/>
          <w:shd w:val="clear" w:color="auto" w:fill="FFFFFF"/>
        </w:rPr>
        <w:t>analysed</w:t>
      </w:r>
      <w:proofErr w:type="spellEnd"/>
      <w:r w:rsidRPr="00D22DCA">
        <w:rPr>
          <w:rFonts w:ascii="Calibri" w:hAnsi="Calibri" w:cs="Calibri"/>
          <w:color w:val="222222"/>
          <w:shd w:val="clear" w:color="auto" w:fill="FFFFFF"/>
        </w:rPr>
        <w:t xml:space="preserve"> in the work. </w:t>
      </w:r>
      <w:proofErr w:type="gramStart"/>
      <w:r w:rsidRPr="00D22DCA">
        <w:rPr>
          <w:rFonts w:ascii="Calibri" w:hAnsi="Calibri" w:cs="Calibri"/>
          <w:color w:val="222222"/>
          <w:shd w:val="clear" w:color="auto" w:fill="FFFFFF"/>
        </w:rPr>
        <w:t>In order to</w:t>
      </w:r>
      <w:proofErr w:type="gramEnd"/>
      <w:r w:rsidRPr="00D22DCA">
        <w:rPr>
          <w:rFonts w:ascii="Calibri" w:hAnsi="Calibri" w:cs="Calibri"/>
          <w:color w:val="222222"/>
          <w:shd w:val="clear" w:color="auto" w:fill="FFFFFF"/>
        </w:rPr>
        <w:t xml:space="preserve"> reduce the bias of the study mainly related to the fact that it is a retrospective study and to the great diversity of patients collected, it is suggested to include in the study only class A of Child-Pugh score patients </w:t>
      </w:r>
      <w:proofErr w:type="gramStart"/>
      <w:r w:rsidRPr="00D22DCA">
        <w:rPr>
          <w:rFonts w:ascii="Calibri" w:hAnsi="Calibri" w:cs="Calibri"/>
          <w:color w:val="222222"/>
          <w:shd w:val="clear" w:color="auto" w:fill="FFFFFF"/>
        </w:rPr>
        <w:t>and also</w:t>
      </w:r>
      <w:proofErr w:type="gramEnd"/>
      <w:r w:rsidRPr="00D22DCA">
        <w:rPr>
          <w:rFonts w:ascii="Calibri" w:hAnsi="Calibri" w:cs="Calibri"/>
          <w:color w:val="222222"/>
          <w:shd w:val="clear" w:color="auto" w:fill="FFFFFF"/>
        </w:rPr>
        <w:t xml:space="preserve"> to indicate how many of them had a history of previous liver decompensation and or hepatocellular carcinoma</w:t>
      </w:r>
      <w:r w:rsidRPr="00D22DCA">
        <w:rPr>
          <w:rFonts w:ascii="Calibri" w:hAnsi="Calibri" w:cs="Calibri"/>
          <w:color w:val="222222"/>
        </w:rPr>
        <w:br/>
      </w:r>
    </w:p>
    <w:p w14:paraId="3DFAFC96" w14:textId="5B468409" w:rsidR="002C73D1" w:rsidRPr="00D22DCA" w:rsidRDefault="002C73D1" w:rsidP="002C73D1">
      <w:pPr>
        <w:rPr>
          <w:rFonts w:ascii="Calibri" w:hAnsi="Calibri" w:cs="Calibri"/>
          <w:b/>
          <w:bCs/>
          <w:color w:val="222222"/>
          <w:shd w:val="clear" w:color="auto" w:fill="FFFFFF"/>
        </w:rPr>
      </w:pPr>
      <w:r w:rsidRPr="00D22DCA">
        <w:rPr>
          <w:rFonts w:ascii="Calibri" w:hAnsi="Calibri" w:cs="Calibri"/>
          <w:b/>
          <w:bCs/>
          <w:color w:val="222222"/>
          <w:shd w:val="clear" w:color="auto" w:fill="FFFFFF"/>
        </w:rPr>
        <w:t xml:space="preserve">Response: Thank you sincerely for your thoughtful review of our manuscript. </w:t>
      </w:r>
      <w:r w:rsidR="009439FD" w:rsidRPr="00D22DCA">
        <w:rPr>
          <w:rFonts w:ascii="Calibri" w:hAnsi="Calibri" w:cs="Calibri"/>
          <w:b/>
          <w:bCs/>
          <w:color w:val="222222"/>
          <w:shd w:val="clear" w:color="auto" w:fill="FFFFFF"/>
        </w:rPr>
        <w:t xml:space="preserve">This is an excellent point, and we agree that this </w:t>
      </w:r>
      <w:r w:rsidR="00A16CD4" w:rsidRPr="00D22DCA">
        <w:rPr>
          <w:rFonts w:ascii="Calibri" w:hAnsi="Calibri" w:cs="Calibri"/>
          <w:b/>
          <w:bCs/>
          <w:color w:val="222222"/>
          <w:shd w:val="clear" w:color="auto" w:fill="FFFFFF"/>
        </w:rPr>
        <w:t xml:space="preserve">should be addressed. To clarify one point, we did exclude patients with cirrhosis who had hepatocellular carcinoma diagnosed prior to or within 6 months of the index date. We also excluded patients with decompensated cirrhosis at baseline—we erroneously did not list this as an exclusion in the </w:t>
      </w:r>
      <w:proofErr w:type="gramStart"/>
      <w:r w:rsidR="00A16CD4" w:rsidRPr="00D22DCA">
        <w:rPr>
          <w:rFonts w:ascii="Calibri" w:hAnsi="Calibri" w:cs="Calibri"/>
          <w:b/>
          <w:bCs/>
          <w:color w:val="222222"/>
          <w:shd w:val="clear" w:color="auto" w:fill="FFFFFF"/>
        </w:rPr>
        <w:t>methods section, but</w:t>
      </w:r>
      <w:proofErr w:type="gramEnd"/>
      <w:r w:rsidR="00A16CD4" w:rsidRPr="00D22DCA">
        <w:rPr>
          <w:rFonts w:ascii="Calibri" w:hAnsi="Calibri" w:cs="Calibri"/>
          <w:b/>
          <w:bCs/>
          <w:color w:val="222222"/>
          <w:shd w:val="clear" w:color="auto" w:fill="FFFFFF"/>
        </w:rPr>
        <w:t xml:space="preserve"> have corrected this in the revised manuscript. As also noted below, we have now added a Supplemental Figure to detail all exclusions applied to the preliminary cohort to arrive at the analytic cohort. This includes the numbers of patients with hepatocellular carcinoma and baseline decompensated cirrhosis, which we have reproduced here:</w:t>
      </w:r>
    </w:p>
    <w:p w14:paraId="3B44302D" w14:textId="5835C7AE" w:rsidR="00A16CD4" w:rsidRPr="00D22DCA" w:rsidRDefault="00A16CD4" w:rsidP="002C73D1">
      <w:pPr>
        <w:rPr>
          <w:rFonts w:ascii="Calibri" w:hAnsi="Calibri" w:cs="Calibri"/>
          <w:b/>
          <w:bCs/>
          <w:color w:val="222222"/>
          <w:shd w:val="clear" w:color="auto" w:fill="FFFFFF"/>
        </w:rPr>
      </w:pPr>
    </w:p>
    <w:p w14:paraId="223A4C35" w14:textId="73E3EFE8" w:rsidR="00A16CD4" w:rsidRPr="00D22DCA" w:rsidRDefault="00A16CD4" w:rsidP="00A16CD4">
      <w:pPr>
        <w:jc w:val="center"/>
        <w:rPr>
          <w:rFonts w:ascii="Calibri" w:hAnsi="Calibri" w:cs="Calibri"/>
          <w:b/>
          <w:bCs/>
          <w:color w:val="222222"/>
          <w:shd w:val="clear" w:color="auto" w:fill="FFFFFF"/>
        </w:rPr>
      </w:pPr>
      <w:r w:rsidRPr="00D22DCA">
        <w:rPr>
          <w:rFonts w:ascii="Calibri" w:hAnsi="Calibri" w:cs="Calibri"/>
          <w:b/>
          <w:bCs/>
          <w:noProof/>
          <w:color w:val="222222"/>
          <w:shd w:val="clear" w:color="auto" w:fill="FFFFFF"/>
        </w:rPr>
        <w:drawing>
          <wp:inline distT="0" distB="0" distL="0" distR="0" wp14:anchorId="0A777FBC" wp14:editId="449CA035">
            <wp:extent cx="4539611" cy="4509347"/>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0"/>
                    <a:stretch>
                      <a:fillRect/>
                    </a:stretch>
                  </pic:blipFill>
                  <pic:spPr>
                    <a:xfrm>
                      <a:off x="0" y="0"/>
                      <a:ext cx="4557031" cy="4526651"/>
                    </a:xfrm>
                    <a:prstGeom prst="rect">
                      <a:avLst/>
                    </a:prstGeom>
                  </pic:spPr>
                </pic:pic>
              </a:graphicData>
            </a:graphic>
          </wp:inline>
        </w:drawing>
      </w:r>
    </w:p>
    <w:p w14:paraId="097C4502" w14:textId="4AB37ED0" w:rsidR="00A16CD4" w:rsidRPr="00D22DCA" w:rsidRDefault="00A16CD4" w:rsidP="00A16CD4">
      <w:pPr>
        <w:jc w:val="center"/>
        <w:rPr>
          <w:rFonts w:ascii="Calibri" w:hAnsi="Calibri" w:cs="Calibri"/>
          <w:b/>
          <w:bCs/>
          <w:color w:val="222222"/>
          <w:shd w:val="clear" w:color="auto" w:fill="FFFFFF"/>
        </w:rPr>
      </w:pPr>
    </w:p>
    <w:p w14:paraId="0F32217B" w14:textId="6A5C989F" w:rsidR="002C73D1" w:rsidRPr="00D22DCA" w:rsidRDefault="00A16CD4" w:rsidP="00A16CD4">
      <w:pPr>
        <w:jc w:val="both"/>
        <w:rPr>
          <w:rFonts w:ascii="Calibri" w:hAnsi="Calibri" w:cs="Calibri"/>
          <w:b/>
          <w:bCs/>
          <w:color w:val="222222"/>
          <w:shd w:val="clear" w:color="auto" w:fill="FFFFFF"/>
        </w:rPr>
      </w:pPr>
      <w:r w:rsidRPr="00D22DCA">
        <w:rPr>
          <w:rFonts w:ascii="Calibri" w:hAnsi="Calibri" w:cs="Calibri"/>
          <w:b/>
          <w:bCs/>
          <w:color w:val="222222"/>
          <w:shd w:val="clear" w:color="auto" w:fill="FFFFFF"/>
        </w:rPr>
        <w:lastRenderedPageBreak/>
        <w:t>Although we used a well validated algorithm to determine cirrhosis decompensation, there is of course the possibility of some misclassification. To you</w:t>
      </w:r>
      <w:r w:rsidR="001367BB" w:rsidRPr="00D22DCA">
        <w:rPr>
          <w:rFonts w:ascii="Calibri" w:hAnsi="Calibri" w:cs="Calibri"/>
          <w:b/>
          <w:bCs/>
          <w:color w:val="222222"/>
          <w:shd w:val="clear" w:color="auto" w:fill="FFFFFF"/>
        </w:rPr>
        <w:t>r</w:t>
      </w:r>
      <w:r w:rsidRPr="00D22DCA">
        <w:rPr>
          <w:rFonts w:ascii="Calibri" w:hAnsi="Calibri" w:cs="Calibri"/>
          <w:b/>
          <w:bCs/>
          <w:color w:val="222222"/>
          <w:shd w:val="clear" w:color="auto" w:fill="FFFFFF"/>
        </w:rPr>
        <w:t xml:space="preserve"> point regarding further restriction of the cohort to Child-Pugh A patients, we agree that this is especially pertinent to the outcome of cirrhosis decompensation. Therefore, to address this critique, we have added a sensitivity analysis where we evaluated this outcome only among patients with initial Child-Pugh class A cirrhosis. </w:t>
      </w:r>
      <w:r w:rsidR="001367BB" w:rsidRPr="00D22DCA">
        <w:rPr>
          <w:rFonts w:ascii="Calibri" w:hAnsi="Calibri" w:cs="Calibri"/>
          <w:b/>
          <w:bCs/>
          <w:color w:val="222222"/>
          <w:shd w:val="clear" w:color="auto" w:fill="FFFFFF"/>
        </w:rPr>
        <w:t>We found that the association between PPI exposure and increased hazard of cirrhosis decompensation remained in this analysis, which is now included in the manuscript.</w:t>
      </w:r>
    </w:p>
    <w:p w14:paraId="038D3AB6" w14:textId="7D5802BF" w:rsidR="002C73D1" w:rsidRPr="00D22DCA" w:rsidRDefault="002C73D1" w:rsidP="002C73D1">
      <w:pPr>
        <w:rPr>
          <w:rFonts w:ascii="Calibri" w:hAnsi="Calibri" w:cs="Calibri"/>
          <w:color w:val="222222"/>
          <w:shd w:val="clear" w:color="auto" w:fill="FFFFFF"/>
        </w:rPr>
      </w:pPr>
      <w:r w:rsidRPr="00D22DCA">
        <w:rPr>
          <w:rFonts w:ascii="Calibri" w:hAnsi="Calibri" w:cs="Calibri"/>
          <w:color w:val="222222"/>
        </w:rPr>
        <w:br/>
      </w:r>
      <w:r w:rsidRPr="00D22DCA">
        <w:rPr>
          <w:rFonts w:ascii="Calibri" w:hAnsi="Calibri" w:cs="Calibri"/>
          <w:color w:val="222222"/>
          <w:shd w:val="clear" w:color="auto" w:fill="FFFFFF"/>
        </w:rPr>
        <w:t>2. * Section-Design and Cohort Creation: page 4 line 32: As the purpose of the study is primarily to assess survival and decompensation in cirrhotic patients undergoing treatment with </w:t>
      </w:r>
      <w:r w:rsidRPr="00D22DCA">
        <w:rPr>
          <w:rStyle w:val="il"/>
          <w:rFonts w:ascii="Calibri" w:hAnsi="Calibri" w:cs="Calibri"/>
          <w:color w:val="222222"/>
          <w:shd w:val="clear" w:color="auto" w:fill="FFFFFF"/>
        </w:rPr>
        <w:t>PPIs</w:t>
      </w:r>
      <w:r w:rsidRPr="00D22DCA">
        <w:rPr>
          <w:rFonts w:ascii="Calibri" w:hAnsi="Calibri" w:cs="Calibri"/>
          <w:color w:val="222222"/>
          <w:shd w:val="clear" w:color="auto" w:fill="FFFFFF"/>
        </w:rPr>
        <w:t>, it would be indicated to have a population with compensated cirrhosis only where at least 24 months of follow-up is available.</w:t>
      </w:r>
    </w:p>
    <w:p w14:paraId="346E444F" w14:textId="053F6C56" w:rsidR="001367BB" w:rsidRPr="00D22DCA" w:rsidRDefault="001367BB" w:rsidP="002C73D1">
      <w:pPr>
        <w:rPr>
          <w:rFonts w:ascii="Calibri" w:hAnsi="Calibri" w:cs="Calibri"/>
          <w:color w:val="222222"/>
          <w:shd w:val="clear" w:color="auto" w:fill="FFFFFF"/>
        </w:rPr>
      </w:pPr>
    </w:p>
    <w:p w14:paraId="6D2BC65A" w14:textId="22D4FC9A" w:rsidR="001367BB" w:rsidRPr="00D22DCA" w:rsidRDefault="001367BB" w:rsidP="002C73D1">
      <w:pPr>
        <w:rPr>
          <w:rFonts w:ascii="Calibri" w:hAnsi="Calibri" w:cs="Calibri"/>
        </w:rPr>
      </w:pPr>
      <w:r w:rsidRPr="00D22DCA">
        <w:rPr>
          <w:rFonts w:ascii="Calibri" w:hAnsi="Calibri" w:cs="Calibri"/>
          <w:b/>
          <w:bCs/>
          <w:color w:val="222222"/>
          <w:shd w:val="clear" w:color="auto" w:fill="FFFFFF"/>
        </w:rPr>
        <w:t>Response: Thank you for raising this issue. As noted in the response to your query #1, patients with baseline decompensated cirrhosis were in fact excluded from the study cohort</w:t>
      </w:r>
      <w:r w:rsidR="00AA4E41" w:rsidRPr="00D22DCA">
        <w:rPr>
          <w:rFonts w:ascii="Calibri" w:hAnsi="Calibri" w:cs="Calibri"/>
          <w:b/>
          <w:bCs/>
          <w:color w:val="222222"/>
          <w:shd w:val="clear" w:color="auto" w:fill="FFFFFF"/>
        </w:rPr>
        <w:t>—this is now corrected in the methods section, and Supplemental Figure 1 is included for further clarity</w:t>
      </w:r>
      <w:r w:rsidRPr="00D22DCA">
        <w:rPr>
          <w:rFonts w:ascii="Calibri" w:hAnsi="Calibri" w:cs="Calibri"/>
          <w:b/>
          <w:bCs/>
          <w:color w:val="222222"/>
          <w:shd w:val="clear" w:color="auto" w:fill="FFFFFF"/>
        </w:rPr>
        <w:t>. We excluded patients who had less than 6 months of follow-up data, however we also now detail overall follow-up time available in the cohort</w:t>
      </w:r>
      <w:r w:rsidR="00AA4E41" w:rsidRPr="00D22DCA">
        <w:rPr>
          <w:rFonts w:ascii="Calibri" w:hAnsi="Calibri" w:cs="Calibri"/>
          <w:b/>
          <w:bCs/>
          <w:color w:val="222222"/>
          <w:shd w:val="clear" w:color="auto" w:fill="FFFFFF"/>
        </w:rPr>
        <w:t xml:space="preserve">, as recommended in your query #6. These data are </w:t>
      </w:r>
      <w:r w:rsidRPr="00D22DCA">
        <w:rPr>
          <w:rFonts w:ascii="Calibri" w:hAnsi="Calibri" w:cs="Calibri"/>
          <w:b/>
          <w:bCs/>
          <w:color w:val="222222"/>
          <w:shd w:val="clear" w:color="auto" w:fill="FFFFFF"/>
        </w:rPr>
        <w:t>now shown in Table 1, stratified by PPI use categories. As an example, the median follow-up time available in patients on PPI at baseline was 52.2 months (interquartile range 27.9 to 81.4 months). We regard this to be sufficient to study the outcomes of interest on the timeline proposed in this study.</w:t>
      </w:r>
    </w:p>
    <w:p w14:paraId="5CB4D19F" w14:textId="350E448E" w:rsidR="002C73D1" w:rsidRPr="00D22DCA" w:rsidRDefault="002C73D1" w:rsidP="002C73D1">
      <w:pPr>
        <w:rPr>
          <w:rFonts w:ascii="Calibri" w:hAnsi="Calibri" w:cs="Calibri"/>
          <w:color w:val="222222"/>
          <w:shd w:val="clear" w:color="auto" w:fill="FFFFFF"/>
        </w:rPr>
      </w:pPr>
      <w:r w:rsidRPr="00D22DCA">
        <w:rPr>
          <w:rFonts w:ascii="Calibri" w:hAnsi="Calibri" w:cs="Calibri"/>
          <w:color w:val="222222"/>
        </w:rPr>
        <w:br/>
      </w:r>
      <w:r w:rsidRPr="00D22DCA">
        <w:rPr>
          <w:rFonts w:ascii="Calibri" w:hAnsi="Calibri" w:cs="Calibri"/>
          <w:color w:val="222222"/>
          <w:shd w:val="clear" w:color="auto" w:fill="FFFFFF"/>
        </w:rPr>
        <w:t xml:space="preserve">3. * Section-Study Design and Cohort Creation: page 4 line 36: to reduce the potential cirrhosis misclassification it could better to use as a criterion the presence of at least one of the following: </w:t>
      </w:r>
      <w:proofErr w:type="spellStart"/>
      <w:r w:rsidRPr="00D22DCA">
        <w:rPr>
          <w:rFonts w:ascii="Calibri" w:hAnsi="Calibri" w:cs="Calibri"/>
          <w:color w:val="222222"/>
          <w:shd w:val="clear" w:color="auto" w:fill="FFFFFF"/>
        </w:rPr>
        <w:t>i</w:t>
      </w:r>
      <w:proofErr w:type="spellEnd"/>
      <w:r w:rsidRPr="00D22DCA">
        <w:rPr>
          <w:rFonts w:ascii="Calibri" w:hAnsi="Calibri" w:cs="Calibri"/>
          <w:color w:val="222222"/>
          <w:shd w:val="clear" w:color="auto" w:fill="FFFFFF"/>
        </w:rPr>
        <w:t>) previous liver biopsy showing stage 4 fibrosis by METAVIR score; ii) evidence of esophageal or gastric varices on esophagogastroduodenoscopy; iii) liver stiffness greater than 12 kPa on transient elastography.</w:t>
      </w:r>
    </w:p>
    <w:p w14:paraId="50BC9418" w14:textId="77777777" w:rsidR="009439FD" w:rsidRPr="00D22DCA" w:rsidRDefault="009439FD" w:rsidP="002C73D1">
      <w:pPr>
        <w:rPr>
          <w:rFonts w:ascii="Calibri" w:hAnsi="Calibri" w:cs="Calibri"/>
          <w:color w:val="222222"/>
        </w:rPr>
      </w:pPr>
    </w:p>
    <w:p w14:paraId="74CDD972" w14:textId="6A1CA589" w:rsidR="009439FD" w:rsidRPr="00D22DCA" w:rsidRDefault="009439FD" w:rsidP="002C73D1">
      <w:pPr>
        <w:rPr>
          <w:rFonts w:ascii="Calibri" w:hAnsi="Calibri" w:cs="Calibri"/>
          <w:b/>
          <w:bCs/>
          <w:color w:val="222222"/>
          <w:shd w:val="clear" w:color="auto" w:fill="FFFFFF"/>
        </w:rPr>
      </w:pPr>
      <w:r w:rsidRPr="00D22DCA">
        <w:rPr>
          <w:rFonts w:ascii="Calibri" w:hAnsi="Calibri" w:cs="Calibri"/>
          <w:b/>
          <w:bCs/>
          <w:color w:val="222222"/>
          <w:shd w:val="clear" w:color="auto" w:fill="FFFFFF"/>
        </w:rPr>
        <w:t>Response: Thank you for this important critique. We agree that misclassification of cirrhosis is possible. Unfortunately, we do not have granular liver biopsy data for the cohort, and many patients with cirrhosis in the cohort have not received prior liver biopsy to establish METAVIR scoring. Similarly, we do not have readily available upper endoscopy results data or transient elastography reports—these would each require a natural language processing or manual adjudication approach to extract varices and kPa data given that reports are in a text format. This is unfortunately not feasible to perform for this manuscript given resource limitations. However, we would like to highlight that we have taken several measures to minimize cirrhosis misclassification in this regard. First, the presence of cirrhosis was determined using an algorithm that was previously manually adjudicated specifically in the Veterans Health Administration (VHA). This algorithm has been utilized in dozens of previously published studies in the VHA and is regard</w:t>
      </w:r>
      <w:r w:rsidR="0090626C">
        <w:rPr>
          <w:rFonts w:ascii="Calibri" w:hAnsi="Calibri" w:cs="Calibri"/>
          <w:b/>
          <w:bCs/>
          <w:color w:val="222222"/>
          <w:shd w:val="clear" w:color="auto" w:fill="FFFFFF"/>
        </w:rPr>
        <w:t>ed</w:t>
      </w:r>
      <w:r w:rsidRPr="00D22DCA">
        <w:rPr>
          <w:rFonts w:ascii="Calibri" w:hAnsi="Calibri" w:cs="Calibri"/>
          <w:b/>
          <w:bCs/>
          <w:color w:val="222222"/>
          <w:shd w:val="clear" w:color="auto" w:fill="FFFFFF"/>
        </w:rPr>
        <w:t xml:space="preserve"> to be highly accurate.</w:t>
      </w:r>
      <w:r w:rsidR="0090626C">
        <w:rPr>
          <w:rStyle w:val="FootnoteReference"/>
          <w:rFonts w:ascii="Calibri" w:hAnsi="Calibri" w:cs="Calibri"/>
          <w:b/>
          <w:bCs/>
          <w:color w:val="222222"/>
          <w:shd w:val="clear" w:color="auto" w:fill="FFFFFF"/>
        </w:rPr>
        <w:footnoteReference w:id="1"/>
      </w:r>
      <w:r w:rsidR="0090626C" w:rsidRPr="0090626C">
        <w:rPr>
          <w:rFonts w:ascii="Calibri" w:hAnsi="Calibri" w:cs="Calibri"/>
          <w:b/>
          <w:bCs/>
          <w:color w:val="222222"/>
          <w:shd w:val="clear" w:color="auto" w:fill="FFFFFF"/>
          <w:vertAlign w:val="superscript"/>
        </w:rPr>
        <w:t>,</w:t>
      </w:r>
      <w:r w:rsidR="0090626C">
        <w:rPr>
          <w:rStyle w:val="FootnoteReference"/>
          <w:rFonts w:ascii="Calibri" w:hAnsi="Calibri" w:cs="Calibri"/>
          <w:b/>
          <w:bCs/>
          <w:color w:val="222222"/>
          <w:shd w:val="clear" w:color="auto" w:fill="FFFFFF"/>
        </w:rPr>
        <w:footnoteReference w:id="2"/>
      </w:r>
      <w:r w:rsidR="0090626C" w:rsidRPr="0090626C">
        <w:rPr>
          <w:rFonts w:ascii="Calibri" w:hAnsi="Calibri" w:cs="Calibri"/>
          <w:b/>
          <w:bCs/>
          <w:color w:val="222222"/>
          <w:shd w:val="clear" w:color="auto" w:fill="FFFFFF"/>
          <w:vertAlign w:val="superscript"/>
        </w:rPr>
        <w:t>,</w:t>
      </w:r>
      <w:r w:rsidR="0090626C">
        <w:rPr>
          <w:rStyle w:val="FootnoteReference"/>
          <w:rFonts w:ascii="Calibri" w:hAnsi="Calibri" w:cs="Calibri"/>
          <w:b/>
          <w:bCs/>
          <w:color w:val="222222"/>
          <w:shd w:val="clear" w:color="auto" w:fill="FFFFFF"/>
        </w:rPr>
        <w:footnoteReference w:id="3"/>
      </w:r>
      <w:r w:rsidR="0090626C">
        <w:rPr>
          <w:rStyle w:val="FootnoteReference"/>
          <w:rFonts w:ascii="Calibri" w:hAnsi="Calibri" w:cs="Calibri"/>
          <w:b/>
          <w:bCs/>
          <w:color w:val="222222"/>
          <w:shd w:val="clear" w:color="auto" w:fill="FFFFFF"/>
        </w:rPr>
        <w:footnoteReference w:id="4"/>
      </w:r>
      <w:r w:rsidRPr="00D22DCA">
        <w:rPr>
          <w:rFonts w:ascii="Calibri" w:hAnsi="Calibri" w:cs="Calibri"/>
          <w:b/>
          <w:bCs/>
          <w:color w:val="222222"/>
          <w:shd w:val="clear" w:color="auto" w:fill="FFFFFF"/>
        </w:rPr>
        <w:t xml:space="preserve"> To further refine the cohort, we did use a non-invasive fibrosis assessment—the Fib-4 score. We excluded patients with a Fib-4 &lt;1.45 at baseline, which would argue against advanced fibrosis. To clarify the exclusions of patients, we have added a Supplemental Figure that details the formation of the final analytic cohort. Additionally, to address your important critique, we have expanded on the limitations </w:t>
      </w:r>
      <w:r w:rsidRPr="00D22DCA">
        <w:rPr>
          <w:rFonts w:ascii="Calibri" w:hAnsi="Calibri" w:cs="Calibri"/>
          <w:b/>
          <w:bCs/>
          <w:color w:val="222222"/>
          <w:shd w:val="clear" w:color="auto" w:fill="FFFFFF"/>
        </w:rPr>
        <w:lastRenderedPageBreak/>
        <w:t>section to highlight that cirrhosis misclassification remains a possibility that could result in selection bias in this study, and therefore the results must be interpreted cautiously in this context</w:t>
      </w:r>
      <w:r w:rsidR="003D116B" w:rsidRPr="00D22DCA">
        <w:rPr>
          <w:rFonts w:ascii="Calibri" w:hAnsi="Calibri" w:cs="Calibri"/>
          <w:b/>
          <w:bCs/>
          <w:color w:val="222222"/>
          <w:shd w:val="clear" w:color="auto" w:fill="FFFFFF"/>
        </w:rPr>
        <w:t>:</w:t>
      </w:r>
    </w:p>
    <w:p w14:paraId="562FF144" w14:textId="08479DFD" w:rsidR="003D116B" w:rsidRPr="00D22DCA" w:rsidRDefault="003D116B" w:rsidP="002C73D1">
      <w:pPr>
        <w:rPr>
          <w:rFonts w:ascii="Calibri" w:hAnsi="Calibri" w:cs="Calibri"/>
          <w:b/>
          <w:bCs/>
          <w:color w:val="222222"/>
          <w:shd w:val="clear" w:color="auto" w:fill="FFFFFF"/>
        </w:rPr>
      </w:pPr>
    </w:p>
    <w:p w14:paraId="3E84B60C" w14:textId="2CB3A60E" w:rsidR="003D116B" w:rsidRPr="00D22DCA" w:rsidRDefault="003D116B" w:rsidP="003D116B">
      <w:pPr>
        <w:ind w:left="720" w:right="720"/>
        <w:rPr>
          <w:rFonts w:ascii="Calibri" w:hAnsi="Calibri" w:cs="Calibri"/>
          <w:b/>
          <w:bCs/>
          <w:i/>
          <w:iCs/>
          <w:color w:val="222222"/>
          <w:shd w:val="clear" w:color="auto" w:fill="FFFFFF"/>
        </w:rPr>
      </w:pPr>
      <w:r w:rsidRPr="00D22DCA">
        <w:rPr>
          <w:rFonts w:ascii="Calibri" w:hAnsi="Calibri" w:cs="Calibri"/>
          <w:b/>
          <w:bCs/>
          <w:i/>
          <w:iCs/>
          <w:color w:val="222222"/>
          <w:shd w:val="clear" w:color="auto" w:fill="FFFFFF"/>
        </w:rPr>
        <w:t>“Fifth, possible misclassification of cirrhosis could cause selection bias that therefore impacts the external validity of findings. Cirrhosis classification could be more definitively ascertained from liver histology or transient elastography data, which were not available in the present study. However, we feel that this bias is likely minimal given that we used a well-validated VHA algorithm to define the cirrhosis cohort and further excluded patients with low Fib-4 scores, a non-invasive marker used to classify patients with likely advanced hepatic fibrosis.”</w:t>
      </w:r>
    </w:p>
    <w:p w14:paraId="628998D2" w14:textId="6D8A3535" w:rsidR="002C73D1" w:rsidRPr="00D22DCA" w:rsidRDefault="002C73D1" w:rsidP="002C73D1">
      <w:pPr>
        <w:rPr>
          <w:rFonts w:ascii="Calibri" w:hAnsi="Calibri" w:cs="Calibri"/>
          <w:color w:val="222222"/>
          <w:shd w:val="clear" w:color="auto" w:fill="FFFFFF"/>
        </w:rPr>
      </w:pPr>
      <w:r w:rsidRPr="00D22DCA">
        <w:rPr>
          <w:rFonts w:ascii="Calibri" w:hAnsi="Calibri" w:cs="Calibri"/>
          <w:color w:val="222222"/>
        </w:rPr>
        <w:br/>
      </w:r>
      <w:r w:rsidRPr="00D22DCA">
        <w:rPr>
          <w:rFonts w:ascii="Calibri" w:hAnsi="Calibri" w:cs="Calibri"/>
          <w:color w:val="222222"/>
          <w:shd w:val="clear" w:color="auto" w:fill="FFFFFF"/>
        </w:rPr>
        <w:t>4. * Section- Exposures: page 4 line 56 Considering that the diagnosis of NAFLD is essentially histological, it would be preferable to define this category as patients with liver cirrhosis associated with metabolic disorders or cryptogenic liver cirrhosis</w:t>
      </w:r>
      <w:r w:rsidRPr="00D22DCA">
        <w:rPr>
          <w:rFonts w:ascii="Calibri" w:hAnsi="Calibri" w:cs="Calibri"/>
          <w:color w:val="222222"/>
          <w:shd w:val="clear" w:color="auto" w:fill="FFFFFF"/>
        </w:rPr>
        <w:br/>
      </w:r>
    </w:p>
    <w:p w14:paraId="08129AC6" w14:textId="6E3432A1" w:rsidR="002C73D1" w:rsidRPr="00D22DCA" w:rsidRDefault="002C73D1" w:rsidP="002C73D1">
      <w:pPr>
        <w:rPr>
          <w:rFonts w:ascii="Calibri" w:hAnsi="Calibri" w:cs="Calibri"/>
          <w:b/>
          <w:bCs/>
          <w:color w:val="222222"/>
          <w:shd w:val="clear" w:color="auto" w:fill="FFFFFF"/>
        </w:rPr>
      </w:pPr>
      <w:r w:rsidRPr="00D22DCA">
        <w:rPr>
          <w:rFonts w:ascii="Calibri" w:hAnsi="Calibri" w:cs="Calibri"/>
          <w:b/>
          <w:bCs/>
          <w:color w:val="222222"/>
          <w:shd w:val="clear" w:color="auto" w:fill="FFFFFF"/>
        </w:rPr>
        <w:t xml:space="preserve">Response: Thank you </w:t>
      </w:r>
      <w:r w:rsidR="003B772B" w:rsidRPr="00D22DCA">
        <w:rPr>
          <w:rFonts w:ascii="Calibri" w:hAnsi="Calibri" w:cs="Calibri"/>
          <w:b/>
          <w:bCs/>
          <w:color w:val="222222"/>
          <w:shd w:val="clear" w:color="auto" w:fill="FFFFFF"/>
        </w:rPr>
        <w:t>for raising this point</w:t>
      </w:r>
      <w:r w:rsidRPr="00D22DCA">
        <w:rPr>
          <w:rFonts w:ascii="Calibri" w:hAnsi="Calibri" w:cs="Calibri"/>
          <w:b/>
          <w:bCs/>
          <w:color w:val="222222"/>
          <w:shd w:val="clear" w:color="auto" w:fill="FFFFFF"/>
        </w:rPr>
        <w:t xml:space="preserve">. </w:t>
      </w:r>
      <w:r w:rsidR="003B772B" w:rsidRPr="00D22DCA">
        <w:rPr>
          <w:rFonts w:ascii="Calibri" w:hAnsi="Calibri" w:cs="Calibri"/>
          <w:b/>
          <w:bCs/>
          <w:color w:val="222222"/>
          <w:shd w:val="clear" w:color="auto" w:fill="FFFFFF"/>
        </w:rPr>
        <w:t xml:space="preserve">To address your </w:t>
      </w:r>
      <w:proofErr w:type="gramStart"/>
      <w:r w:rsidR="003B772B" w:rsidRPr="00D22DCA">
        <w:rPr>
          <w:rFonts w:ascii="Calibri" w:hAnsi="Calibri" w:cs="Calibri"/>
          <w:b/>
          <w:bCs/>
          <w:color w:val="222222"/>
          <w:shd w:val="clear" w:color="auto" w:fill="FFFFFF"/>
        </w:rPr>
        <w:t>comment</w:t>
      </w:r>
      <w:proofErr w:type="gramEnd"/>
      <w:r w:rsidR="003B772B" w:rsidRPr="00D22DCA">
        <w:rPr>
          <w:rFonts w:ascii="Calibri" w:hAnsi="Calibri" w:cs="Calibri"/>
          <w:b/>
          <w:bCs/>
          <w:color w:val="222222"/>
          <w:shd w:val="clear" w:color="auto" w:fill="FFFFFF"/>
        </w:rPr>
        <w:t xml:space="preserve"> we have changed “NAFLD” to “metabolic-associated fatty liver disease (MAFLD)” throughout the manuscript, consistent with exper</w:t>
      </w:r>
      <w:r w:rsidRPr="00D22DCA">
        <w:rPr>
          <w:rFonts w:ascii="Calibri" w:hAnsi="Calibri" w:cs="Calibri"/>
          <w:b/>
          <w:bCs/>
          <w:color w:val="222222"/>
          <w:shd w:val="clear" w:color="auto" w:fill="FFFFFF"/>
        </w:rPr>
        <w:t>t</w:t>
      </w:r>
      <w:r w:rsidR="003B772B" w:rsidRPr="00D22DCA">
        <w:rPr>
          <w:rFonts w:ascii="Calibri" w:hAnsi="Calibri" w:cs="Calibri"/>
          <w:b/>
          <w:bCs/>
          <w:color w:val="222222"/>
          <w:shd w:val="clear" w:color="auto" w:fill="FFFFFF"/>
        </w:rPr>
        <w:t xml:space="preserve"> consensus recommendations (PMID 32044314, now cited in the manuscript).</w:t>
      </w:r>
    </w:p>
    <w:p w14:paraId="6AE556A8" w14:textId="1E703845" w:rsidR="002C73D1" w:rsidRPr="00D22DCA" w:rsidRDefault="002C73D1" w:rsidP="002C73D1">
      <w:pPr>
        <w:rPr>
          <w:rFonts w:ascii="Calibri" w:hAnsi="Calibri" w:cs="Calibri"/>
          <w:color w:val="222222"/>
          <w:shd w:val="clear" w:color="auto" w:fill="FFFFFF"/>
        </w:rPr>
      </w:pPr>
      <w:r w:rsidRPr="00D22DCA">
        <w:rPr>
          <w:rFonts w:ascii="Calibri" w:hAnsi="Calibri" w:cs="Calibri"/>
          <w:color w:val="222222"/>
        </w:rPr>
        <w:br/>
      </w:r>
      <w:r w:rsidRPr="00D22DCA">
        <w:rPr>
          <w:rFonts w:ascii="Calibri" w:hAnsi="Calibri" w:cs="Calibri"/>
          <w:color w:val="222222"/>
          <w:shd w:val="clear" w:color="auto" w:fill="FFFFFF"/>
        </w:rPr>
        <w:t>5. * Section- Exposures: page 5 line 1: please clarify whether all patients included in the study had a follow-up of 60 months</w:t>
      </w:r>
      <w:r w:rsidRPr="00D22DCA">
        <w:rPr>
          <w:rFonts w:ascii="Calibri" w:hAnsi="Calibri" w:cs="Calibri"/>
          <w:color w:val="222222"/>
        </w:rPr>
        <w:br/>
      </w:r>
    </w:p>
    <w:p w14:paraId="45390030" w14:textId="479508FB" w:rsidR="002C73D1" w:rsidRPr="00D22DCA" w:rsidRDefault="002C73D1" w:rsidP="002C73D1">
      <w:pPr>
        <w:rPr>
          <w:rFonts w:ascii="Calibri" w:hAnsi="Calibri" w:cs="Calibri"/>
          <w:b/>
          <w:bCs/>
          <w:color w:val="222222"/>
          <w:shd w:val="clear" w:color="auto" w:fill="FFFFFF"/>
        </w:rPr>
      </w:pPr>
      <w:r w:rsidRPr="00D22DCA">
        <w:rPr>
          <w:rFonts w:ascii="Calibri" w:hAnsi="Calibri" w:cs="Calibri"/>
          <w:b/>
          <w:bCs/>
          <w:color w:val="222222"/>
          <w:shd w:val="clear" w:color="auto" w:fill="FFFFFF"/>
        </w:rPr>
        <w:t xml:space="preserve">Response: Thank you very much for pointing out this issue; we agree that this warrants clarification. Not all patients had 60 months of follow-up, as many experienced the outcomes of interest prior to maximum possible follow-up, and others experienced loss-to-follow-up. We have clarified in the methods that the </w:t>
      </w:r>
      <w:r w:rsidRPr="00D22DCA">
        <w:rPr>
          <w:rFonts w:ascii="Calibri" w:hAnsi="Calibri" w:cs="Calibri"/>
          <w:b/>
          <w:bCs/>
          <w:i/>
          <w:iCs/>
          <w:color w:val="222222"/>
          <w:shd w:val="clear" w:color="auto" w:fill="FFFFFF"/>
        </w:rPr>
        <w:t>maximum</w:t>
      </w:r>
      <w:r w:rsidRPr="00D22DCA">
        <w:rPr>
          <w:rFonts w:ascii="Calibri" w:hAnsi="Calibri" w:cs="Calibri"/>
          <w:b/>
          <w:bCs/>
          <w:color w:val="222222"/>
          <w:shd w:val="clear" w:color="auto" w:fill="FFFFFF"/>
        </w:rPr>
        <w:t xml:space="preserve"> follow-up window was 60 months</w:t>
      </w:r>
      <w:r w:rsidR="00134422" w:rsidRPr="00D22DCA">
        <w:rPr>
          <w:rFonts w:ascii="Calibri" w:hAnsi="Calibri" w:cs="Calibri"/>
          <w:b/>
          <w:bCs/>
          <w:color w:val="222222"/>
          <w:shd w:val="clear" w:color="auto" w:fill="FFFFFF"/>
        </w:rPr>
        <w:t xml:space="preserve"> for regression analyses</w:t>
      </w:r>
      <w:r w:rsidRPr="00D22DCA">
        <w:rPr>
          <w:rFonts w:ascii="Calibri" w:hAnsi="Calibri" w:cs="Calibri"/>
          <w:b/>
          <w:bCs/>
          <w:color w:val="222222"/>
          <w:shd w:val="clear" w:color="auto" w:fill="FFFFFF"/>
        </w:rPr>
        <w:t>. We have further clarified in the regression methodology that observations were right</w:t>
      </w:r>
      <w:r w:rsidR="00134422" w:rsidRPr="00D22DCA">
        <w:rPr>
          <w:rFonts w:ascii="Calibri" w:hAnsi="Calibri" w:cs="Calibri"/>
          <w:b/>
          <w:bCs/>
          <w:color w:val="222222"/>
          <w:shd w:val="clear" w:color="auto" w:fill="FFFFFF"/>
        </w:rPr>
        <w:t xml:space="preserve"> </w:t>
      </w:r>
      <w:r w:rsidRPr="00D22DCA">
        <w:rPr>
          <w:rFonts w:ascii="Calibri" w:hAnsi="Calibri" w:cs="Calibri"/>
          <w:b/>
          <w:bCs/>
          <w:color w:val="222222"/>
          <w:shd w:val="clear" w:color="auto" w:fill="FFFFFF"/>
        </w:rPr>
        <w:t>censored at liver transplantation, maximum follow-up, or (for non-mortality outcomes) at patient death. As per your suggestion in query #</w:t>
      </w:r>
      <w:r w:rsidR="00AA4E41" w:rsidRPr="00D22DCA">
        <w:rPr>
          <w:rFonts w:ascii="Calibri" w:hAnsi="Calibri" w:cs="Calibri"/>
          <w:b/>
          <w:bCs/>
          <w:color w:val="222222"/>
          <w:shd w:val="clear" w:color="auto" w:fill="FFFFFF"/>
        </w:rPr>
        <w:t>6</w:t>
      </w:r>
      <w:r w:rsidRPr="00D22DCA">
        <w:rPr>
          <w:rFonts w:ascii="Calibri" w:hAnsi="Calibri" w:cs="Calibri"/>
          <w:b/>
          <w:bCs/>
          <w:color w:val="222222"/>
          <w:shd w:val="clear" w:color="auto" w:fill="FFFFFF"/>
        </w:rPr>
        <w:t xml:space="preserve"> below, we have also included the median and interquartile range for overall follow-up data available </w:t>
      </w:r>
      <w:r w:rsidR="00134422" w:rsidRPr="00D22DCA">
        <w:rPr>
          <w:rFonts w:ascii="Calibri" w:hAnsi="Calibri" w:cs="Calibri"/>
          <w:b/>
          <w:bCs/>
          <w:color w:val="222222"/>
          <w:shd w:val="clear" w:color="auto" w:fill="FFFFFF"/>
        </w:rPr>
        <w:t>for patients in the cohort.</w:t>
      </w:r>
    </w:p>
    <w:p w14:paraId="7DB8A754" w14:textId="27500E15" w:rsidR="002C73D1" w:rsidRPr="00D22DCA" w:rsidRDefault="002C73D1" w:rsidP="002C73D1">
      <w:pPr>
        <w:rPr>
          <w:rFonts w:ascii="Calibri" w:hAnsi="Calibri" w:cs="Calibri"/>
        </w:rPr>
      </w:pPr>
      <w:r w:rsidRPr="00D22DCA">
        <w:rPr>
          <w:rFonts w:ascii="Calibri" w:hAnsi="Calibri" w:cs="Calibri"/>
          <w:color w:val="222222"/>
        </w:rPr>
        <w:br/>
      </w:r>
      <w:r w:rsidRPr="00D22DCA">
        <w:rPr>
          <w:rFonts w:ascii="Calibri" w:hAnsi="Calibri" w:cs="Calibri"/>
          <w:color w:val="222222"/>
          <w:shd w:val="clear" w:color="auto" w:fill="FFFFFF"/>
        </w:rPr>
        <w:t>6. * Table 1: please insert in the table the follow-up time expressed as median and range, anti-lipid-lowering agents and -anti-diabetic therapies.</w:t>
      </w:r>
    </w:p>
    <w:p w14:paraId="0371F102" w14:textId="7DFBBF09" w:rsidR="002C73D1" w:rsidRPr="00D22DCA" w:rsidRDefault="002C73D1" w:rsidP="002C73D1">
      <w:pPr>
        <w:rPr>
          <w:rFonts w:ascii="Calibri" w:eastAsiaTheme="minorHAnsi" w:hAnsi="Calibri" w:cs="Calibri"/>
        </w:rPr>
      </w:pPr>
    </w:p>
    <w:p w14:paraId="57E10395" w14:textId="59A53B0C" w:rsidR="002C73D1" w:rsidRPr="00D22DCA" w:rsidRDefault="002C73D1" w:rsidP="002C73D1">
      <w:pPr>
        <w:rPr>
          <w:rFonts w:ascii="Calibri" w:hAnsi="Calibri" w:cs="Calibri"/>
          <w:b/>
          <w:bCs/>
          <w:color w:val="222222"/>
          <w:shd w:val="clear" w:color="auto" w:fill="FFFFFF"/>
        </w:rPr>
      </w:pPr>
      <w:r w:rsidRPr="00D22DCA">
        <w:rPr>
          <w:rFonts w:ascii="Calibri" w:hAnsi="Calibri" w:cs="Calibri"/>
          <w:b/>
          <w:bCs/>
          <w:color w:val="222222"/>
          <w:shd w:val="clear" w:color="auto" w:fill="FFFFFF"/>
        </w:rPr>
        <w:t xml:space="preserve">Response: Thank you very much for this suggestion. We agree that these data would be useful. The median follow-up </w:t>
      </w:r>
      <w:proofErr w:type="gramStart"/>
      <w:r w:rsidRPr="00D22DCA">
        <w:rPr>
          <w:rFonts w:ascii="Calibri" w:hAnsi="Calibri" w:cs="Calibri"/>
          <w:b/>
          <w:bCs/>
          <w:color w:val="222222"/>
          <w:shd w:val="clear" w:color="auto" w:fill="FFFFFF"/>
        </w:rPr>
        <w:t>differ</w:t>
      </w:r>
      <w:proofErr w:type="gramEnd"/>
      <w:r w:rsidRPr="00D22DCA">
        <w:rPr>
          <w:rFonts w:ascii="Calibri" w:hAnsi="Calibri" w:cs="Calibri"/>
          <w:b/>
          <w:bCs/>
          <w:color w:val="222222"/>
          <w:shd w:val="clear" w:color="auto" w:fill="FFFFFF"/>
        </w:rPr>
        <w:t xml:space="preserve"> slightly for each of the outcomes studied (mortality, decompensation, infection, etc.). However, in Table 1 we now include the duration of overall patient follow-up time available for each PPI category (irrespective of the outcome). Regarding the addition of medications, we now include the proportion of patients taking statin medications at baseline, as well as antiplatelet agents at baseline. These are both relevant to subsequent analyses, as you have pointed out, as both are included as time-updating covariates in models. Unfortunately, we do not have anti-diabetic medications readily available for incorporation into this study. However, the presence of diabetes mellitus, BMI, CAD, CHF, etc. were all incorporated into inverse probability treatment weighting procedures, which we feel adequately address this issue.</w:t>
      </w:r>
    </w:p>
    <w:p w14:paraId="3DDCBA39" w14:textId="77777777" w:rsidR="002C73D1" w:rsidRPr="00D22DCA" w:rsidRDefault="002C73D1" w:rsidP="002C73D1">
      <w:pPr>
        <w:rPr>
          <w:rFonts w:ascii="Calibri" w:eastAsiaTheme="minorHAnsi" w:hAnsi="Calibri" w:cs="Calibri"/>
        </w:rPr>
      </w:pPr>
    </w:p>
    <w:sectPr w:rsidR="002C73D1" w:rsidRPr="00D22DCA" w:rsidSect="005F1499">
      <w:headerReference w:type="first" r:id="rId11"/>
      <w:type w:val="continuous"/>
      <w:pgSz w:w="12240" w:h="15840"/>
      <w:pgMar w:top="720" w:right="720" w:bottom="720" w:left="720" w:header="720" w:footer="5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9D62" w14:textId="77777777" w:rsidR="00D67F2D" w:rsidRDefault="00D67F2D">
      <w:r>
        <w:separator/>
      </w:r>
    </w:p>
  </w:endnote>
  <w:endnote w:type="continuationSeparator" w:id="0">
    <w:p w14:paraId="725F189D" w14:textId="77777777" w:rsidR="00D67F2D" w:rsidRDefault="00D6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0C43" w14:textId="77777777" w:rsidR="00D67F2D" w:rsidRDefault="00D67F2D">
      <w:r>
        <w:separator/>
      </w:r>
    </w:p>
  </w:footnote>
  <w:footnote w:type="continuationSeparator" w:id="0">
    <w:p w14:paraId="43788EB2" w14:textId="77777777" w:rsidR="00D67F2D" w:rsidRDefault="00D67F2D">
      <w:r>
        <w:continuationSeparator/>
      </w:r>
    </w:p>
  </w:footnote>
  <w:footnote w:id="1">
    <w:p w14:paraId="761CA335" w14:textId="33435E21" w:rsidR="0090626C" w:rsidRPr="0090626C" w:rsidRDefault="0090626C" w:rsidP="0090626C">
      <w:pPr>
        <w:rPr>
          <w:sz w:val="18"/>
          <w:szCs w:val="18"/>
        </w:rPr>
      </w:pPr>
      <w:r w:rsidRPr="0090626C">
        <w:rPr>
          <w:rStyle w:val="FootnoteReference"/>
          <w:sz w:val="18"/>
          <w:szCs w:val="18"/>
        </w:rPr>
        <w:footnoteRef/>
      </w:r>
      <w:r w:rsidRPr="0090626C">
        <w:rPr>
          <w:sz w:val="18"/>
          <w:szCs w:val="18"/>
        </w:rPr>
        <w:t xml:space="preserve"> </w:t>
      </w:r>
      <w:r w:rsidRPr="0090626C">
        <w:rPr>
          <w:rFonts w:ascii="Arial" w:hAnsi="Arial" w:cs="Arial"/>
          <w:color w:val="222222"/>
          <w:sz w:val="18"/>
          <w:szCs w:val="18"/>
          <w:shd w:val="clear" w:color="auto" w:fill="FFFFFF"/>
        </w:rPr>
        <w:t xml:space="preserve">Kaplan DE, </w:t>
      </w:r>
      <w:proofErr w:type="spellStart"/>
      <w:r w:rsidRPr="0090626C">
        <w:rPr>
          <w:rFonts w:ascii="Arial" w:hAnsi="Arial" w:cs="Arial"/>
          <w:color w:val="222222"/>
          <w:sz w:val="18"/>
          <w:szCs w:val="18"/>
          <w:shd w:val="clear" w:color="auto" w:fill="FFFFFF"/>
        </w:rPr>
        <w:t>Serper</w:t>
      </w:r>
      <w:proofErr w:type="spellEnd"/>
      <w:r w:rsidRPr="0090626C">
        <w:rPr>
          <w:rFonts w:ascii="Arial" w:hAnsi="Arial" w:cs="Arial"/>
          <w:color w:val="222222"/>
          <w:sz w:val="18"/>
          <w:szCs w:val="18"/>
          <w:shd w:val="clear" w:color="auto" w:fill="FFFFFF"/>
        </w:rPr>
        <w:t xml:space="preserve"> MA, Mehta R, Fox R, John B, </w:t>
      </w:r>
      <w:proofErr w:type="spellStart"/>
      <w:r w:rsidRPr="0090626C">
        <w:rPr>
          <w:rFonts w:ascii="Arial" w:hAnsi="Arial" w:cs="Arial"/>
          <w:color w:val="222222"/>
          <w:sz w:val="18"/>
          <w:szCs w:val="18"/>
          <w:shd w:val="clear" w:color="auto" w:fill="FFFFFF"/>
        </w:rPr>
        <w:t>Aytaman</w:t>
      </w:r>
      <w:proofErr w:type="spellEnd"/>
      <w:r w:rsidRPr="0090626C">
        <w:rPr>
          <w:rFonts w:ascii="Arial" w:hAnsi="Arial" w:cs="Arial"/>
          <w:color w:val="222222"/>
          <w:sz w:val="18"/>
          <w:szCs w:val="18"/>
          <w:shd w:val="clear" w:color="auto" w:fill="FFFFFF"/>
        </w:rPr>
        <w:t xml:space="preserve"> A, </w:t>
      </w:r>
      <w:proofErr w:type="spellStart"/>
      <w:r w:rsidRPr="0090626C">
        <w:rPr>
          <w:rFonts w:ascii="Arial" w:hAnsi="Arial" w:cs="Arial"/>
          <w:color w:val="222222"/>
          <w:sz w:val="18"/>
          <w:szCs w:val="18"/>
          <w:shd w:val="clear" w:color="auto" w:fill="FFFFFF"/>
        </w:rPr>
        <w:t>Baytarian</w:t>
      </w:r>
      <w:proofErr w:type="spellEnd"/>
      <w:r w:rsidRPr="0090626C">
        <w:rPr>
          <w:rFonts w:ascii="Arial" w:hAnsi="Arial" w:cs="Arial"/>
          <w:color w:val="222222"/>
          <w:sz w:val="18"/>
          <w:szCs w:val="18"/>
          <w:shd w:val="clear" w:color="auto" w:fill="FFFFFF"/>
        </w:rPr>
        <w:t xml:space="preserve"> M, Hunt K, Albrecht J, Njei B, Taddei TH. Effects of hypercholesterolemia and statin exposure on survival in a large national cohort of patients with cirrhosis. Gastroenterology. 2019 May 1;156(6):1693-706.</w:t>
      </w:r>
    </w:p>
  </w:footnote>
  <w:footnote w:id="2">
    <w:p w14:paraId="70CEE94C" w14:textId="2F0D7B63" w:rsidR="0090626C" w:rsidRPr="0090626C" w:rsidRDefault="0090626C" w:rsidP="0090626C">
      <w:pPr>
        <w:rPr>
          <w:sz w:val="18"/>
          <w:szCs w:val="18"/>
        </w:rPr>
      </w:pPr>
      <w:r w:rsidRPr="0090626C">
        <w:rPr>
          <w:rStyle w:val="FootnoteReference"/>
          <w:sz w:val="18"/>
          <w:szCs w:val="18"/>
        </w:rPr>
        <w:footnoteRef/>
      </w:r>
      <w:r w:rsidRPr="0090626C">
        <w:rPr>
          <w:sz w:val="18"/>
          <w:szCs w:val="18"/>
        </w:rPr>
        <w:t xml:space="preserve"> </w:t>
      </w:r>
      <w:r w:rsidRPr="0090626C">
        <w:rPr>
          <w:rFonts w:ascii="Arial" w:hAnsi="Arial" w:cs="Arial"/>
          <w:color w:val="222222"/>
          <w:sz w:val="18"/>
          <w:szCs w:val="18"/>
          <w:shd w:val="clear" w:color="auto" w:fill="FFFFFF"/>
        </w:rPr>
        <w:t xml:space="preserve">Mahmud N, Fricker Z, Hubbard RA, Ioannou GN, Lewis JD, Taddei TH, Rothstein KD, </w:t>
      </w:r>
      <w:proofErr w:type="spellStart"/>
      <w:r w:rsidRPr="0090626C">
        <w:rPr>
          <w:rFonts w:ascii="Arial" w:hAnsi="Arial" w:cs="Arial"/>
          <w:color w:val="222222"/>
          <w:sz w:val="18"/>
          <w:szCs w:val="18"/>
          <w:shd w:val="clear" w:color="auto" w:fill="FFFFFF"/>
        </w:rPr>
        <w:t>Serper</w:t>
      </w:r>
      <w:proofErr w:type="spellEnd"/>
      <w:r w:rsidRPr="0090626C">
        <w:rPr>
          <w:rFonts w:ascii="Arial" w:hAnsi="Arial" w:cs="Arial"/>
          <w:color w:val="222222"/>
          <w:sz w:val="18"/>
          <w:szCs w:val="18"/>
          <w:shd w:val="clear" w:color="auto" w:fill="FFFFFF"/>
        </w:rPr>
        <w:t xml:space="preserve"> M, Goldberg DS, Kaplan DE. Risk prediction models for post</w:t>
      </w:r>
      <w:r w:rsidRPr="0090626C">
        <w:rPr>
          <w:rFonts w:ascii="Cambria Math" w:hAnsi="Cambria Math" w:cs="Cambria Math"/>
          <w:color w:val="222222"/>
          <w:sz w:val="18"/>
          <w:szCs w:val="18"/>
          <w:shd w:val="clear" w:color="auto" w:fill="FFFFFF"/>
        </w:rPr>
        <w:t>‐</w:t>
      </w:r>
      <w:r w:rsidRPr="0090626C">
        <w:rPr>
          <w:rFonts w:ascii="Arial" w:hAnsi="Arial" w:cs="Arial"/>
          <w:color w:val="222222"/>
          <w:sz w:val="18"/>
          <w:szCs w:val="18"/>
          <w:shd w:val="clear" w:color="auto" w:fill="FFFFFF"/>
        </w:rPr>
        <w:t>operative mortality in patients with cirrhosis. Hepatology. 2021 Jan;73(1):204-18.</w:t>
      </w:r>
    </w:p>
  </w:footnote>
  <w:footnote w:id="3">
    <w:p w14:paraId="656F388F" w14:textId="7A903AE6" w:rsidR="0090626C" w:rsidRPr="0090626C" w:rsidRDefault="0090626C" w:rsidP="0090626C">
      <w:pPr>
        <w:rPr>
          <w:rFonts w:ascii="Arial" w:hAnsi="Arial" w:cs="Arial"/>
          <w:color w:val="222222"/>
          <w:sz w:val="18"/>
          <w:szCs w:val="18"/>
          <w:shd w:val="clear" w:color="auto" w:fill="FFFFFF"/>
        </w:rPr>
      </w:pPr>
      <w:r w:rsidRPr="0090626C">
        <w:rPr>
          <w:rStyle w:val="FootnoteReference"/>
          <w:sz w:val="18"/>
          <w:szCs w:val="18"/>
        </w:rPr>
        <w:footnoteRef/>
      </w:r>
      <w:r w:rsidRPr="0090626C">
        <w:rPr>
          <w:sz w:val="18"/>
          <w:szCs w:val="18"/>
        </w:rPr>
        <w:t xml:space="preserve"> </w:t>
      </w:r>
      <w:r w:rsidRPr="0090626C">
        <w:rPr>
          <w:rFonts w:ascii="Arial" w:hAnsi="Arial" w:cs="Arial"/>
          <w:color w:val="222222"/>
          <w:sz w:val="18"/>
          <w:szCs w:val="18"/>
          <w:shd w:val="clear" w:color="auto" w:fill="FFFFFF"/>
        </w:rPr>
        <w:t xml:space="preserve">Kaplan DE, Dai F, </w:t>
      </w:r>
      <w:proofErr w:type="spellStart"/>
      <w:r w:rsidRPr="0090626C">
        <w:rPr>
          <w:rFonts w:ascii="Arial" w:hAnsi="Arial" w:cs="Arial"/>
          <w:color w:val="222222"/>
          <w:sz w:val="18"/>
          <w:szCs w:val="18"/>
          <w:shd w:val="clear" w:color="auto" w:fill="FFFFFF"/>
        </w:rPr>
        <w:t>Aytaman</w:t>
      </w:r>
      <w:proofErr w:type="spellEnd"/>
      <w:r w:rsidRPr="0090626C">
        <w:rPr>
          <w:rFonts w:ascii="Arial" w:hAnsi="Arial" w:cs="Arial"/>
          <w:color w:val="222222"/>
          <w:sz w:val="18"/>
          <w:szCs w:val="18"/>
          <w:shd w:val="clear" w:color="auto" w:fill="FFFFFF"/>
        </w:rPr>
        <w:t xml:space="preserve"> A, </w:t>
      </w:r>
      <w:proofErr w:type="spellStart"/>
      <w:r w:rsidRPr="0090626C">
        <w:rPr>
          <w:rFonts w:ascii="Arial" w:hAnsi="Arial" w:cs="Arial"/>
          <w:color w:val="222222"/>
          <w:sz w:val="18"/>
          <w:szCs w:val="18"/>
          <w:shd w:val="clear" w:color="auto" w:fill="FFFFFF"/>
        </w:rPr>
        <w:t>Baytarian</w:t>
      </w:r>
      <w:proofErr w:type="spellEnd"/>
      <w:r w:rsidRPr="0090626C">
        <w:rPr>
          <w:rFonts w:ascii="Arial" w:hAnsi="Arial" w:cs="Arial"/>
          <w:color w:val="222222"/>
          <w:sz w:val="18"/>
          <w:szCs w:val="18"/>
          <w:shd w:val="clear" w:color="auto" w:fill="FFFFFF"/>
        </w:rPr>
        <w:t xml:space="preserve"> M, Fox R, Hunt K, Knott A, Pedrosa M, Pocha C, Mehta R, Duggal M. Development and performance of an algorithm to estimate the Child-Turcotte-Pugh score from a national electronic healthcare database. Clinical Gastroenterology and Hepatology. 2015 Dec 1;13(13):2333-41.</w:t>
      </w:r>
    </w:p>
  </w:footnote>
  <w:footnote w:id="4">
    <w:p w14:paraId="4BF6484E" w14:textId="77777777" w:rsidR="0090626C" w:rsidRPr="0090626C" w:rsidRDefault="0090626C" w:rsidP="0090626C">
      <w:pPr>
        <w:rPr>
          <w:sz w:val="18"/>
          <w:szCs w:val="18"/>
        </w:rPr>
      </w:pPr>
      <w:r w:rsidRPr="0090626C">
        <w:rPr>
          <w:rStyle w:val="FootnoteReference"/>
          <w:sz w:val="18"/>
          <w:szCs w:val="18"/>
        </w:rPr>
        <w:footnoteRef/>
      </w:r>
      <w:r w:rsidRPr="0090626C">
        <w:rPr>
          <w:sz w:val="18"/>
          <w:szCs w:val="18"/>
        </w:rPr>
        <w:t xml:space="preserve"> </w:t>
      </w:r>
      <w:r w:rsidRPr="0090626C">
        <w:rPr>
          <w:rFonts w:ascii="Arial" w:hAnsi="Arial" w:cs="Arial"/>
          <w:color w:val="222222"/>
          <w:sz w:val="18"/>
          <w:szCs w:val="18"/>
          <w:shd w:val="clear" w:color="auto" w:fill="FFFFFF"/>
        </w:rPr>
        <w:t xml:space="preserve">Saffo S, Kaplan DE, Mahmud N, </w:t>
      </w:r>
      <w:proofErr w:type="spellStart"/>
      <w:r w:rsidRPr="0090626C">
        <w:rPr>
          <w:rFonts w:ascii="Arial" w:hAnsi="Arial" w:cs="Arial"/>
          <w:color w:val="222222"/>
          <w:sz w:val="18"/>
          <w:szCs w:val="18"/>
          <w:shd w:val="clear" w:color="auto" w:fill="FFFFFF"/>
        </w:rPr>
        <w:t>Serper</w:t>
      </w:r>
      <w:proofErr w:type="spellEnd"/>
      <w:r w:rsidRPr="0090626C">
        <w:rPr>
          <w:rFonts w:ascii="Arial" w:hAnsi="Arial" w:cs="Arial"/>
          <w:color w:val="222222"/>
          <w:sz w:val="18"/>
          <w:szCs w:val="18"/>
          <w:shd w:val="clear" w:color="auto" w:fill="FFFFFF"/>
        </w:rPr>
        <w:t xml:space="preserve"> M, John BV, Ross JS, Taddei T. Impact of SGLT2 inhibitors in comparison with DPP4 inhibitors on ascites and death in veterans with cirrhosis on metformin. Diabetes, Obesity and Metabolism. 2021 Oct;23(10):2402-8.</w:t>
      </w:r>
    </w:p>
    <w:p w14:paraId="6037410D" w14:textId="4240C881" w:rsidR="0090626C" w:rsidRDefault="009062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7F8B" w14:textId="77777777" w:rsidR="00BE2BBB" w:rsidRDefault="00BE2BBB" w:rsidP="00F10E62">
    <w:pPr>
      <w:pStyle w:val="Header"/>
      <w:tabs>
        <w:tab w:val="clear" w:pos="4320"/>
        <w:tab w:val="clear" w:pos="8640"/>
        <w:tab w:val="left" w:pos="5670"/>
      </w:tabs>
      <w:ind w:left="994" w:right="-1080"/>
      <w:rPr>
        <w:rFonts w:ascii="Times" w:hAnsi="Times"/>
        <w:color w:val="1A2781"/>
        <w:sz w:val="28"/>
      </w:rPr>
    </w:pPr>
    <w:r>
      <w:rPr>
        <w:noProof/>
      </w:rPr>
      <w:drawing>
        <wp:anchor distT="0" distB="0" distL="114300" distR="114300" simplePos="0" relativeHeight="251661312" behindDoc="0" locked="0" layoutInCell="1" allowOverlap="1" wp14:anchorId="25F66EAF" wp14:editId="7A01030B">
          <wp:simplePos x="0" y="0"/>
          <wp:positionH relativeFrom="column">
            <wp:posOffset>0</wp:posOffset>
          </wp:positionH>
          <wp:positionV relativeFrom="paragraph">
            <wp:posOffset>-16510</wp:posOffset>
          </wp:positionV>
          <wp:extent cx="607060" cy="685800"/>
          <wp:effectExtent l="0" t="0" r="2540" b="0"/>
          <wp:wrapTight wrapText="bothSides">
            <wp:wrapPolygon edited="0">
              <wp:start x="0" y="0"/>
              <wp:lineTo x="0" y="20800"/>
              <wp:lineTo x="20787" y="20800"/>
              <wp:lineTo x="2078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3DEA42D" wp14:editId="5F4D0A78">
          <wp:simplePos x="0" y="0"/>
          <wp:positionH relativeFrom="column">
            <wp:posOffset>215265</wp:posOffset>
          </wp:positionH>
          <wp:positionV relativeFrom="paragraph">
            <wp:posOffset>-16510</wp:posOffset>
          </wp:positionV>
          <wp:extent cx="2985135" cy="710565"/>
          <wp:effectExtent l="0" t="0" r="12065" b="635"/>
          <wp:wrapNone/>
          <wp:docPr id="17" name="Picture 1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513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color w:val="1A2781"/>
        <w:sz w:val="28"/>
      </w:rPr>
      <w:tab/>
    </w:r>
  </w:p>
  <w:p w14:paraId="71798CEB" w14:textId="771AEB76" w:rsidR="00BE2BBB" w:rsidRPr="002C73D1" w:rsidRDefault="00BE2BBB" w:rsidP="002C73D1">
    <w:pPr>
      <w:pStyle w:val="Header"/>
      <w:tabs>
        <w:tab w:val="clear" w:pos="8640"/>
        <w:tab w:val="left" w:pos="5670"/>
      </w:tabs>
      <w:ind w:left="994" w:right="-1080"/>
      <w:rPr>
        <w:rFonts w:ascii="Calibri" w:hAnsi="Calibri" w:cs="Calibri"/>
        <w:bCs/>
        <w:color w:val="222222"/>
        <w:sz w:val="22"/>
        <w:szCs w:val="22"/>
        <w:shd w:val="clear" w:color="auto" w:fill="FFFFFF"/>
      </w:rPr>
    </w:pPr>
    <w:r>
      <w:rPr>
        <w:rFonts w:ascii="Times" w:hAnsi="Times"/>
        <w:color w:val="1A2781"/>
        <w:sz w:val="28"/>
      </w:rPr>
      <w:tab/>
    </w:r>
    <w:r>
      <w:rPr>
        <w:rFonts w:ascii="Times" w:hAnsi="Times"/>
        <w:color w:val="1A2781"/>
        <w:sz w:val="28"/>
      </w:rPr>
      <w:tab/>
    </w:r>
    <w:r w:rsidR="002C73D1">
      <w:rPr>
        <w:rFonts w:ascii="Times" w:hAnsi="Times"/>
        <w:color w:val="1A2781"/>
        <w:sz w:val="28"/>
      </w:rPr>
      <w:tab/>
    </w:r>
    <w:r w:rsidR="002C73D1">
      <w:rPr>
        <w:rFonts w:ascii="Times" w:hAnsi="Times"/>
        <w:color w:val="1A2781"/>
        <w:sz w:val="28"/>
      </w:rPr>
      <w:tab/>
    </w:r>
    <w:r w:rsidR="002C73D1">
      <w:rPr>
        <w:rFonts w:ascii="Times" w:hAnsi="Times"/>
        <w:color w:val="1A2781"/>
        <w:sz w:val="28"/>
      </w:rPr>
      <w:tab/>
    </w:r>
    <w:r w:rsidR="002C73D1">
      <w:rPr>
        <w:rFonts w:ascii="Times" w:hAnsi="Times"/>
        <w:color w:val="1A2781"/>
        <w:sz w:val="28"/>
      </w:rPr>
      <w:tab/>
    </w:r>
    <w:r>
      <w:rPr>
        <w:rFonts w:ascii="Times" w:hAnsi="Times"/>
        <w:color w:val="1A2781"/>
        <w:sz w:val="28"/>
      </w:rPr>
      <w:tab/>
    </w:r>
    <w:r w:rsidR="002C73D1" w:rsidRPr="002C73D1">
      <w:rPr>
        <w:rFonts w:ascii="Calibri" w:hAnsi="Calibri" w:cs="Calibri"/>
        <w:b/>
        <w:color w:val="222222"/>
        <w:sz w:val="22"/>
        <w:szCs w:val="22"/>
        <w:shd w:val="clear" w:color="auto" w:fill="FFFFFF"/>
      </w:rPr>
      <w:t>GASTRO-D-21-02925</w:t>
    </w:r>
  </w:p>
  <w:p w14:paraId="0C23023B" w14:textId="77777777" w:rsidR="00262D58" w:rsidRPr="00AB48D9" w:rsidRDefault="00262D58" w:rsidP="00AB48D9">
    <w:pPr>
      <w:pStyle w:val="Header"/>
      <w:tabs>
        <w:tab w:val="left" w:pos="5670"/>
      </w:tabs>
      <w:ind w:left="994" w:right="-1080"/>
      <w:rPr>
        <w:rFonts w:ascii="Calibri" w:hAnsi="Calibri" w:cs="Arial"/>
        <w:b/>
        <w:color w:val="222222"/>
        <w:sz w:val="22"/>
        <w:szCs w:val="22"/>
        <w:shd w:val="clear" w:color="auto" w:fill="FFFFFF"/>
      </w:rPr>
    </w:pPr>
  </w:p>
  <w:p w14:paraId="2FF59360" w14:textId="52E46F09" w:rsidR="00BE2BBB" w:rsidRDefault="00BE2BBB" w:rsidP="00F10E62">
    <w:pPr>
      <w:pStyle w:val="Header"/>
      <w:tabs>
        <w:tab w:val="clear" w:pos="4320"/>
        <w:tab w:val="clear" w:pos="8640"/>
        <w:tab w:val="left" w:pos="5670"/>
      </w:tabs>
      <w:ind w:left="994" w:right="-1080"/>
      <w:rPr>
        <w:rFonts w:ascii="Times" w:hAnsi="Times"/>
        <w:b/>
        <w:color w:val="17365D"/>
        <w:sz w:val="20"/>
      </w:rPr>
    </w:pPr>
    <w:r w:rsidRPr="00342E99">
      <w:rPr>
        <w:rFonts w:ascii="Times" w:hAnsi="Times"/>
        <w:color w:val="17365D"/>
        <w:sz w:val="28"/>
      </w:rPr>
      <w:tab/>
    </w:r>
    <w:r w:rsidRPr="00342E99">
      <w:rPr>
        <w:rFonts w:ascii="Times" w:hAnsi="Times"/>
        <w:b/>
        <w:color w:val="17365D"/>
        <w:sz w:val="20"/>
      </w:rPr>
      <w:tab/>
    </w:r>
  </w:p>
  <w:p w14:paraId="7B239028" w14:textId="3ECE78D0" w:rsidR="00BE2BBB" w:rsidRDefault="00BE2BBB" w:rsidP="00F10E62">
    <w:pPr>
      <w:pStyle w:val="Header"/>
      <w:tabs>
        <w:tab w:val="clear" w:pos="4320"/>
        <w:tab w:val="clear" w:pos="8640"/>
        <w:tab w:val="left" w:pos="5670"/>
      </w:tabs>
      <w:ind w:left="994" w:right="-1080"/>
      <w:rPr>
        <w:rFonts w:ascii="Times" w:hAnsi="Times"/>
        <w:b/>
        <w:color w:val="17365D"/>
        <w:sz w:val="20"/>
      </w:rPr>
    </w:pPr>
  </w:p>
  <w:p w14:paraId="1E5E36E9" w14:textId="50D96397" w:rsidR="00BE2BBB" w:rsidRPr="005B16CA" w:rsidRDefault="00BE2BBB" w:rsidP="00F10E62">
    <w:pPr>
      <w:pStyle w:val="Header"/>
      <w:tabs>
        <w:tab w:val="clear" w:pos="4320"/>
        <w:tab w:val="clear" w:pos="8640"/>
        <w:tab w:val="left" w:pos="5670"/>
      </w:tabs>
      <w:ind w:left="994" w:right="-1080"/>
      <w:rPr>
        <w:rFonts w:ascii="Times" w:hAnsi="Times"/>
        <w:color w:val="1A2781"/>
        <w:sz w:val="4"/>
      </w:rPr>
    </w:pPr>
    <w:r w:rsidRPr="007B24D2">
      <w:rPr>
        <w:rFonts w:ascii="Times" w:hAnsi="Times"/>
        <w:noProof/>
        <w:color w:val="1A2781"/>
        <w:sz w:val="28"/>
        <w:szCs w:val="20"/>
      </w:rPr>
      <mc:AlternateContent>
        <mc:Choice Requires="wps">
          <w:drawing>
            <wp:anchor distT="0" distB="0" distL="114300" distR="114300" simplePos="0" relativeHeight="251659264" behindDoc="0" locked="0" layoutInCell="1" allowOverlap="1" wp14:anchorId="2997794F" wp14:editId="2B8DAB13">
              <wp:simplePos x="0" y="0"/>
              <wp:positionH relativeFrom="column">
                <wp:posOffset>-67945</wp:posOffset>
              </wp:positionH>
              <wp:positionV relativeFrom="paragraph">
                <wp:posOffset>15240</wp:posOffset>
              </wp:positionV>
              <wp:extent cx="5935345" cy="8890"/>
              <wp:effectExtent l="0" t="0" r="8255" b="1651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5345" cy="8890"/>
                      </a:xfrm>
                      <a:custGeom>
                        <a:avLst/>
                        <a:gdLst>
                          <a:gd name="T0" fmla="*/ 0 w 9347"/>
                          <a:gd name="T1" fmla="*/ 0 h 14"/>
                          <a:gd name="T2" fmla="*/ 9347 w 9347"/>
                          <a:gd name="T3" fmla="*/ 14 h 14"/>
                        </a:gdLst>
                        <a:ahLst/>
                        <a:cxnLst>
                          <a:cxn ang="0">
                            <a:pos x="T0" y="T1"/>
                          </a:cxn>
                          <a:cxn ang="0">
                            <a:pos x="T2" y="T3"/>
                          </a:cxn>
                        </a:cxnLst>
                        <a:rect l="0" t="0" r="r" b="b"/>
                        <a:pathLst>
                          <a:path w="9347" h="14">
                            <a:moveTo>
                              <a:pt x="0" y="0"/>
                            </a:moveTo>
                            <a:lnTo>
                              <a:pt x="9347" y="14"/>
                            </a:lnTo>
                          </a:path>
                        </a:pathLst>
                      </a:custGeom>
                      <a:noFill/>
                      <a:ln w="12700">
                        <a:solidFill>
                          <a:srgbClr val="971D2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083E19" id="Freeform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35pt,1.2pt,462pt,1.9pt" coordsize="9347,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" filled="f" strokecolor="#971d24" strokeweight="1pt">
              <v:path arrowok="t" o:connecttype="custom" o:connectlocs="0,0;5935345,8890" o:connectangles="0,0"/>
            </v:polyline>
          </w:pict>
        </mc:Fallback>
      </mc:AlternateContent>
    </w:r>
    <w:r w:rsidRPr="005B16CA">
      <w:rPr>
        <w:rFonts w:ascii="Times" w:hAnsi="Times"/>
        <w:color w:val="1A2781"/>
        <w:sz w:val="4"/>
      </w:rPr>
      <w:tab/>
    </w:r>
  </w:p>
  <w:p w14:paraId="1F6D3D2C" w14:textId="77777777" w:rsidR="00BE2BBB" w:rsidRDefault="00BE2BBB" w:rsidP="00F10E62">
    <w:pPr>
      <w:tabs>
        <w:tab w:val="left" w:pos="5670"/>
      </w:tabs>
      <w:rPr>
        <w:color w:val="17365D"/>
        <w:sz w:val="18"/>
        <w:szCs w:val="18"/>
      </w:rPr>
    </w:pPr>
    <w:r w:rsidRPr="00342E99">
      <w:rPr>
        <w:color w:val="17365D"/>
        <w:sz w:val="20"/>
      </w:rPr>
      <w:t>Department of Medicine</w:t>
    </w:r>
    <w:r w:rsidRPr="00342E99">
      <w:rPr>
        <w:color w:val="17365D"/>
        <w:sz w:val="18"/>
      </w:rPr>
      <w:tab/>
    </w:r>
  </w:p>
  <w:p w14:paraId="3CD08120" w14:textId="77777777" w:rsidR="00BE2BBB" w:rsidRPr="00342E99" w:rsidRDefault="00BE2BBB" w:rsidP="00F10E62">
    <w:pPr>
      <w:tabs>
        <w:tab w:val="left" w:pos="5670"/>
      </w:tabs>
      <w:ind w:left="5670" w:hanging="5670"/>
      <w:rPr>
        <w:color w:val="17365D"/>
        <w:sz w:val="18"/>
        <w:szCs w:val="18"/>
      </w:rPr>
    </w:pPr>
    <w:r w:rsidRPr="00342E99">
      <w:rPr>
        <w:color w:val="17365D"/>
        <w:sz w:val="20"/>
      </w:rPr>
      <w:t>Division of Gastroenterology</w:t>
    </w:r>
    <w:r w:rsidRPr="00342E99">
      <w:rPr>
        <w:color w:val="17365D"/>
        <w:sz w:val="18"/>
        <w:szCs w:val="18"/>
      </w:rPr>
      <w:t xml:space="preserve"> </w:t>
    </w:r>
    <w:r>
      <w:rPr>
        <w:color w:val="17365D"/>
        <w:sz w:val="18"/>
        <w:szCs w:val="18"/>
      </w:rPr>
      <w:tab/>
    </w:r>
    <w:r>
      <w:rPr>
        <w:color w:val="1A2781"/>
        <w:sz w:val="18"/>
      </w:rPr>
      <w:t xml:space="preserve"> </w:t>
    </w:r>
  </w:p>
  <w:p w14:paraId="21666366" w14:textId="77777777" w:rsidR="00BE2BBB" w:rsidRDefault="00BE2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AC05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672E9"/>
    <w:multiLevelType w:val="multilevel"/>
    <w:tmpl w:val="3BA0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524BE"/>
    <w:multiLevelType w:val="multilevel"/>
    <w:tmpl w:val="9BC2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B062C"/>
    <w:multiLevelType w:val="hybridMultilevel"/>
    <w:tmpl w:val="27F2BBFC"/>
    <w:lvl w:ilvl="0" w:tplc="9404C9FA">
      <w:start w:val="3"/>
      <w:numFmt w:val="bullet"/>
      <w:lvlText w:val="-"/>
      <w:lvlJc w:val="left"/>
      <w:pPr>
        <w:ind w:left="720" w:hanging="360"/>
      </w:pPr>
      <w:rPr>
        <w:rFonts w:ascii="Calibri" w:eastAsia="Cambr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511BD"/>
    <w:multiLevelType w:val="hybridMultilevel"/>
    <w:tmpl w:val="776E5996"/>
    <w:lvl w:ilvl="0" w:tplc="9476F31E">
      <w:start w:val="610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D2AB7"/>
    <w:multiLevelType w:val="multilevel"/>
    <w:tmpl w:val="E4E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A07EB"/>
    <w:multiLevelType w:val="multilevel"/>
    <w:tmpl w:val="C19A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B7E48"/>
    <w:multiLevelType w:val="hybridMultilevel"/>
    <w:tmpl w:val="8424E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D7EA3"/>
    <w:multiLevelType w:val="multilevel"/>
    <w:tmpl w:val="2E86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B7353"/>
    <w:multiLevelType w:val="hybridMultilevel"/>
    <w:tmpl w:val="DA06C392"/>
    <w:lvl w:ilvl="0" w:tplc="733E9C6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25410C"/>
    <w:multiLevelType w:val="multilevel"/>
    <w:tmpl w:val="3CF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08378F"/>
    <w:multiLevelType w:val="multilevel"/>
    <w:tmpl w:val="4A78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A3A73"/>
    <w:multiLevelType w:val="multilevel"/>
    <w:tmpl w:val="1F4C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143189">
    <w:abstractNumId w:val="7"/>
  </w:num>
  <w:num w:numId="2" w16cid:durableId="1650136391">
    <w:abstractNumId w:val="0"/>
  </w:num>
  <w:num w:numId="3" w16cid:durableId="442959709">
    <w:abstractNumId w:val="3"/>
  </w:num>
  <w:num w:numId="4" w16cid:durableId="1483308184">
    <w:abstractNumId w:val="6"/>
  </w:num>
  <w:num w:numId="5" w16cid:durableId="1756897482">
    <w:abstractNumId w:val="10"/>
  </w:num>
  <w:num w:numId="6" w16cid:durableId="83651231">
    <w:abstractNumId w:val="9"/>
  </w:num>
  <w:num w:numId="7" w16cid:durableId="1652522769">
    <w:abstractNumId w:val="11"/>
  </w:num>
  <w:num w:numId="8" w16cid:durableId="1351492296">
    <w:abstractNumId w:val="5"/>
  </w:num>
  <w:num w:numId="9" w16cid:durableId="497504185">
    <w:abstractNumId w:val="1"/>
  </w:num>
  <w:num w:numId="10" w16cid:durableId="50882430">
    <w:abstractNumId w:val="12"/>
  </w:num>
  <w:num w:numId="11" w16cid:durableId="1141192014">
    <w:abstractNumId w:val="2"/>
  </w:num>
  <w:num w:numId="12" w16cid:durableId="1383288594">
    <w:abstractNumId w:val="8"/>
  </w:num>
  <w:num w:numId="13" w16cid:durableId="657654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1D0"/>
    <w:rsid w:val="00000C6F"/>
    <w:rsid w:val="00002D36"/>
    <w:rsid w:val="000035CA"/>
    <w:rsid w:val="000041D9"/>
    <w:rsid w:val="00004406"/>
    <w:rsid w:val="0000683B"/>
    <w:rsid w:val="000069AE"/>
    <w:rsid w:val="0000771B"/>
    <w:rsid w:val="00007C74"/>
    <w:rsid w:val="00012255"/>
    <w:rsid w:val="00014ADC"/>
    <w:rsid w:val="00014C0A"/>
    <w:rsid w:val="00015957"/>
    <w:rsid w:val="00015FEA"/>
    <w:rsid w:val="00016001"/>
    <w:rsid w:val="00016225"/>
    <w:rsid w:val="000173AC"/>
    <w:rsid w:val="00022E2B"/>
    <w:rsid w:val="00025C4D"/>
    <w:rsid w:val="00026A0D"/>
    <w:rsid w:val="00026A64"/>
    <w:rsid w:val="00027C4F"/>
    <w:rsid w:val="0003163F"/>
    <w:rsid w:val="00031C6F"/>
    <w:rsid w:val="00032041"/>
    <w:rsid w:val="0003374A"/>
    <w:rsid w:val="00034523"/>
    <w:rsid w:val="00036D5E"/>
    <w:rsid w:val="00040BE0"/>
    <w:rsid w:val="000412E4"/>
    <w:rsid w:val="0004144D"/>
    <w:rsid w:val="00041CFF"/>
    <w:rsid w:val="00041F82"/>
    <w:rsid w:val="000447AB"/>
    <w:rsid w:val="000466CC"/>
    <w:rsid w:val="00046B8F"/>
    <w:rsid w:val="00050D1F"/>
    <w:rsid w:val="000542EB"/>
    <w:rsid w:val="000643B9"/>
    <w:rsid w:val="00067093"/>
    <w:rsid w:val="000679A0"/>
    <w:rsid w:val="00070629"/>
    <w:rsid w:val="00070FC4"/>
    <w:rsid w:val="00072132"/>
    <w:rsid w:val="000725E1"/>
    <w:rsid w:val="000728CB"/>
    <w:rsid w:val="0007604C"/>
    <w:rsid w:val="00077570"/>
    <w:rsid w:val="000827EE"/>
    <w:rsid w:val="00082935"/>
    <w:rsid w:val="00082CC1"/>
    <w:rsid w:val="00084522"/>
    <w:rsid w:val="0008465E"/>
    <w:rsid w:val="000857CA"/>
    <w:rsid w:val="00085853"/>
    <w:rsid w:val="0008682E"/>
    <w:rsid w:val="00086D19"/>
    <w:rsid w:val="00091CD0"/>
    <w:rsid w:val="00092304"/>
    <w:rsid w:val="0009555F"/>
    <w:rsid w:val="000A0560"/>
    <w:rsid w:val="000A0A98"/>
    <w:rsid w:val="000A14C0"/>
    <w:rsid w:val="000A24AC"/>
    <w:rsid w:val="000A2DE5"/>
    <w:rsid w:val="000A307C"/>
    <w:rsid w:val="000A5E75"/>
    <w:rsid w:val="000B09C6"/>
    <w:rsid w:val="000B0D03"/>
    <w:rsid w:val="000B1D25"/>
    <w:rsid w:val="000B2374"/>
    <w:rsid w:val="000B49EF"/>
    <w:rsid w:val="000B6D09"/>
    <w:rsid w:val="000B7792"/>
    <w:rsid w:val="000B7DC1"/>
    <w:rsid w:val="000C00E0"/>
    <w:rsid w:val="000C1723"/>
    <w:rsid w:val="000C32AE"/>
    <w:rsid w:val="000C38B9"/>
    <w:rsid w:val="000D0835"/>
    <w:rsid w:val="000D2939"/>
    <w:rsid w:val="000D3B6B"/>
    <w:rsid w:val="000D40FA"/>
    <w:rsid w:val="000E0598"/>
    <w:rsid w:val="000E1586"/>
    <w:rsid w:val="000E3A3D"/>
    <w:rsid w:val="000E7CE6"/>
    <w:rsid w:val="00100FFA"/>
    <w:rsid w:val="00101B80"/>
    <w:rsid w:val="00101F7E"/>
    <w:rsid w:val="00105103"/>
    <w:rsid w:val="00106E11"/>
    <w:rsid w:val="00110360"/>
    <w:rsid w:val="00110D9E"/>
    <w:rsid w:val="001159D5"/>
    <w:rsid w:val="00116131"/>
    <w:rsid w:val="001165F2"/>
    <w:rsid w:val="001205DF"/>
    <w:rsid w:val="0012100E"/>
    <w:rsid w:val="00121D51"/>
    <w:rsid w:val="00122734"/>
    <w:rsid w:val="00123A36"/>
    <w:rsid w:val="00124800"/>
    <w:rsid w:val="00130BA4"/>
    <w:rsid w:val="00131FA8"/>
    <w:rsid w:val="00132964"/>
    <w:rsid w:val="00132E4A"/>
    <w:rsid w:val="00133D65"/>
    <w:rsid w:val="00134422"/>
    <w:rsid w:val="001353E2"/>
    <w:rsid w:val="001365CE"/>
    <w:rsid w:val="001367BB"/>
    <w:rsid w:val="001404CC"/>
    <w:rsid w:val="00142C9D"/>
    <w:rsid w:val="00145F49"/>
    <w:rsid w:val="00147BD2"/>
    <w:rsid w:val="00147D5B"/>
    <w:rsid w:val="00151170"/>
    <w:rsid w:val="001547DA"/>
    <w:rsid w:val="00155DD3"/>
    <w:rsid w:val="0015683D"/>
    <w:rsid w:val="0015777A"/>
    <w:rsid w:val="0016126B"/>
    <w:rsid w:val="00163851"/>
    <w:rsid w:val="00163BDA"/>
    <w:rsid w:val="00163CF6"/>
    <w:rsid w:val="001656BF"/>
    <w:rsid w:val="0017011F"/>
    <w:rsid w:val="00173702"/>
    <w:rsid w:val="00173717"/>
    <w:rsid w:val="001737BA"/>
    <w:rsid w:val="00173A0F"/>
    <w:rsid w:val="001740B9"/>
    <w:rsid w:val="001746CA"/>
    <w:rsid w:val="00181122"/>
    <w:rsid w:val="0018195E"/>
    <w:rsid w:val="001827DD"/>
    <w:rsid w:val="00182B43"/>
    <w:rsid w:val="00183F7F"/>
    <w:rsid w:val="00184C20"/>
    <w:rsid w:val="00186F2A"/>
    <w:rsid w:val="0018774F"/>
    <w:rsid w:val="001948C9"/>
    <w:rsid w:val="00194D28"/>
    <w:rsid w:val="001A22A3"/>
    <w:rsid w:val="001A3EBF"/>
    <w:rsid w:val="001A427D"/>
    <w:rsid w:val="001A6380"/>
    <w:rsid w:val="001B2D2D"/>
    <w:rsid w:val="001B3F52"/>
    <w:rsid w:val="001B4447"/>
    <w:rsid w:val="001B453F"/>
    <w:rsid w:val="001B4EE4"/>
    <w:rsid w:val="001B531E"/>
    <w:rsid w:val="001B678F"/>
    <w:rsid w:val="001C10F5"/>
    <w:rsid w:val="001C294F"/>
    <w:rsid w:val="001C4CCA"/>
    <w:rsid w:val="001C4FD4"/>
    <w:rsid w:val="001C53B2"/>
    <w:rsid w:val="001C58FC"/>
    <w:rsid w:val="001C7C76"/>
    <w:rsid w:val="001C7FD2"/>
    <w:rsid w:val="001D0F5E"/>
    <w:rsid w:val="001D204D"/>
    <w:rsid w:val="001D4665"/>
    <w:rsid w:val="001D56AE"/>
    <w:rsid w:val="001E1FDB"/>
    <w:rsid w:val="001E698B"/>
    <w:rsid w:val="001E7381"/>
    <w:rsid w:val="001F273C"/>
    <w:rsid w:val="001F5B57"/>
    <w:rsid w:val="001F7E96"/>
    <w:rsid w:val="00202D2E"/>
    <w:rsid w:val="00203010"/>
    <w:rsid w:val="00203214"/>
    <w:rsid w:val="00204ECE"/>
    <w:rsid w:val="00205D11"/>
    <w:rsid w:val="00205FC5"/>
    <w:rsid w:val="00206445"/>
    <w:rsid w:val="00206498"/>
    <w:rsid w:val="00207A39"/>
    <w:rsid w:val="00207D9A"/>
    <w:rsid w:val="00211356"/>
    <w:rsid w:val="00211D39"/>
    <w:rsid w:val="00212474"/>
    <w:rsid w:val="002160D6"/>
    <w:rsid w:val="00217671"/>
    <w:rsid w:val="00217D56"/>
    <w:rsid w:val="00221CFE"/>
    <w:rsid w:val="002227F6"/>
    <w:rsid w:val="00222BEE"/>
    <w:rsid w:val="00224C45"/>
    <w:rsid w:val="00226B76"/>
    <w:rsid w:val="00227D5C"/>
    <w:rsid w:val="00230589"/>
    <w:rsid w:val="00232C23"/>
    <w:rsid w:val="00233519"/>
    <w:rsid w:val="00237C57"/>
    <w:rsid w:val="00241C85"/>
    <w:rsid w:val="00241E82"/>
    <w:rsid w:val="00245529"/>
    <w:rsid w:val="00251D30"/>
    <w:rsid w:val="00252C1D"/>
    <w:rsid w:val="00257F03"/>
    <w:rsid w:val="00261177"/>
    <w:rsid w:val="0026228E"/>
    <w:rsid w:val="00262D58"/>
    <w:rsid w:val="002641E9"/>
    <w:rsid w:val="00264ADC"/>
    <w:rsid w:val="00272C60"/>
    <w:rsid w:val="00275490"/>
    <w:rsid w:val="002774AE"/>
    <w:rsid w:val="00280BE6"/>
    <w:rsid w:val="00281A6B"/>
    <w:rsid w:val="00281ACA"/>
    <w:rsid w:val="00283CB4"/>
    <w:rsid w:val="0028481E"/>
    <w:rsid w:val="00285ADF"/>
    <w:rsid w:val="0028701E"/>
    <w:rsid w:val="00291507"/>
    <w:rsid w:val="0029191B"/>
    <w:rsid w:val="00297980"/>
    <w:rsid w:val="002A2302"/>
    <w:rsid w:val="002A2F2A"/>
    <w:rsid w:val="002A473E"/>
    <w:rsid w:val="002A55DF"/>
    <w:rsid w:val="002A646F"/>
    <w:rsid w:val="002A675A"/>
    <w:rsid w:val="002A74F7"/>
    <w:rsid w:val="002A763A"/>
    <w:rsid w:val="002A776D"/>
    <w:rsid w:val="002A77D0"/>
    <w:rsid w:val="002B2B38"/>
    <w:rsid w:val="002B6C10"/>
    <w:rsid w:val="002B732F"/>
    <w:rsid w:val="002C1834"/>
    <w:rsid w:val="002C244E"/>
    <w:rsid w:val="002C6B9D"/>
    <w:rsid w:val="002C7312"/>
    <w:rsid w:val="002C73D1"/>
    <w:rsid w:val="002C7CA8"/>
    <w:rsid w:val="002D0523"/>
    <w:rsid w:val="002D26D0"/>
    <w:rsid w:val="002D392E"/>
    <w:rsid w:val="002D799F"/>
    <w:rsid w:val="002E52C3"/>
    <w:rsid w:val="002E701B"/>
    <w:rsid w:val="002E75ED"/>
    <w:rsid w:val="002F014A"/>
    <w:rsid w:val="002F1111"/>
    <w:rsid w:val="002F1188"/>
    <w:rsid w:val="002F4B83"/>
    <w:rsid w:val="002F72A1"/>
    <w:rsid w:val="002F7592"/>
    <w:rsid w:val="0030058F"/>
    <w:rsid w:val="003010DE"/>
    <w:rsid w:val="0030148E"/>
    <w:rsid w:val="003027FF"/>
    <w:rsid w:val="00302B3C"/>
    <w:rsid w:val="003061A1"/>
    <w:rsid w:val="00306850"/>
    <w:rsid w:val="00310741"/>
    <w:rsid w:val="00310EC2"/>
    <w:rsid w:val="003134D9"/>
    <w:rsid w:val="00313511"/>
    <w:rsid w:val="0031388F"/>
    <w:rsid w:val="0031464B"/>
    <w:rsid w:val="003246F0"/>
    <w:rsid w:val="00327050"/>
    <w:rsid w:val="0032707B"/>
    <w:rsid w:val="003276D3"/>
    <w:rsid w:val="003313EB"/>
    <w:rsid w:val="003322AD"/>
    <w:rsid w:val="003332A1"/>
    <w:rsid w:val="00335421"/>
    <w:rsid w:val="00335B8D"/>
    <w:rsid w:val="00337872"/>
    <w:rsid w:val="00342E99"/>
    <w:rsid w:val="0034504E"/>
    <w:rsid w:val="003454DB"/>
    <w:rsid w:val="00345E5F"/>
    <w:rsid w:val="00346CF0"/>
    <w:rsid w:val="003529DA"/>
    <w:rsid w:val="00353DB8"/>
    <w:rsid w:val="00353F5A"/>
    <w:rsid w:val="00354368"/>
    <w:rsid w:val="00355258"/>
    <w:rsid w:val="0035614C"/>
    <w:rsid w:val="00357F7F"/>
    <w:rsid w:val="00360E53"/>
    <w:rsid w:val="00361484"/>
    <w:rsid w:val="003618F2"/>
    <w:rsid w:val="00363AE0"/>
    <w:rsid w:val="00364060"/>
    <w:rsid w:val="003649F7"/>
    <w:rsid w:val="00365D4C"/>
    <w:rsid w:val="00371146"/>
    <w:rsid w:val="003719A9"/>
    <w:rsid w:val="00372003"/>
    <w:rsid w:val="00377631"/>
    <w:rsid w:val="00380587"/>
    <w:rsid w:val="003811F5"/>
    <w:rsid w:val="00381412"/>
    <w:rsid w:val="00382DDC"/>
    <w:rsid w:val="00382FEF"/>
    <w:rsid w:val="00383B41"/>
    <w:rsid w:val="00383FC6"/>
    <w:rsid w:val="00384E6E"/>
    <w:rsid w:val="00385219"/>
    <w:rsid w:val="003857B2"/>
    <w:rsid w:val="00385937"/>
    <w:rsid w:val="00386A3E"/>
    <w:rsid w:val="00387A85"/>
    <w:rsid w:val="00390ED2"/>
    <w:rsid w:val="003918E7"/>
    <w:rsid w:val="00392452"/>
    <w:rsid w:val="00393925"/>
    <w:rsid w:val="003950D6"/>
    <w:rsid w:val="0039725E"/>
    <w:rsid w:val="00397881"/>
    <w:rsid w:val="003A1D50"/>
    <w:rsid w:val="003A3C84"/>
    <w:rsid w:val="003A3D26"/>
    <w:rsid w:val="003A4138"/>
    <w:rsid w:val="003A4C90"/>
    <w:rsid w:val="003A53C7"/>
    <w:rsid w:val="003A5929"/>
    <w:rsid w:val="003A5DC1"/>
    <w:rsid w:val="003A7C56"/>
    <w:rsid w:val="003B0079"/>
    <w:rsid w:val="003B2B72"/>
    <w:rsid w:val="003B2C13"/>
    <w:rsid w:val="003B503C"/>
    <w:rsid w:val="003B62F4"/>
    <w:rsid w:val="003B6F4A"/>
    <w:rsid w:val="003B772B"/>
    <w:rsid w:val="003C0ED6"/>
    <w:rsid w:val="003C2954"/>
    <w:rsid w:val="003C44E9"/>
    <w:rsid w:val="003C5C2A"/>
    <w:rsid w:val="003C70AB"/>
    <w:rsid w:val="003D116B"/>
    <w:rsid w:val="003D140E"/>
    <w:rsid w:val="003D1A7B"/>
    <w:rsid w:val="003D6647"/>
    <w:rsid w:val="003D74EB"/>
    <w:rsid w:val="003E1C7E"/>
    <w:rsid w:val="003E51AE"/>
    <w:rsid w:val="003E5F50"/>
    <w:rsid w:val="003E7259"/>
    <w:rsid w:val="003F0FDC"/>
    <w:rsid w:val="003F3A17"/>
    <w:rsid w:val="003F59A0"/>
    <w:rsid w:val="003F64A2"/>
    <w:rsid w:val="003F725C"/>
    <w:rsid w:val="00402198"/>
    <w:rsid w:val="00403055"/>
    <w:rsid w:val="00403CD8"/>
    <w:rsid w:val="00404C6C"/>
    <w:rsid w:val="004057C1"/>
    <w:rsid w:val="004069A1"/>
    <w:rsid w:val="00407F50"/>
    <w:rsid w:val="00411722"/>
    <w:rsid w:val="00414A96"/>
    <w:rsid w:val="00416BD5"/>
    <w:rsid w:val="00421626"/>
    <w:rsid w:val="004219C2"/>
    <w:rsid w:val="00422321"/>
    <w:rsid w:val="00422BD9"/>
    <w:rsid w:val="00422F6C"/>
    <w:rsid w:val="00424CD8"/>
    <w:rsid w:val="00430163"/>
    <w:rsid w:val="00432AD8"/>
    <w:rsid w:val="0043780B"/>
    <w:rsid w:val="00437997"/>
    <w:rsid w:val="004419E7"/>
    <w:rsid w:val="00446A4B"/>
    <w:rsid w:val="00446E43"/>
    <w:rsid w:val="00447A77"/>
    <w:rsid w:val="00452FD4"/>
    <w:rsid w:val="00457036"/>
    <w:rsid w:val="0046239E"/>
    <w:rsid w:val="004639E0"/>
    <w:rsid w:val="00464901"/>
    <w:rsid w:val="00467B58"/>
    <w:rsid w:val="00472845"/>
    <w:rsid w:val="00474F75"/>
    <w:rsid w:val="00476A4B"/>
    <w:rsid w:val="0047750D"/>
    <w:rsid w:val="00477910"/>
    <w:rsid w:val="00477943"/>
    <w:rsid w:val="00477BCB"/>
    <w:rsid w:val="00477BF5"/>
    <w:rsid w:val="00480B1C"/>
    <w:rsid w:val="00480DF8"/>
    <w:rsid w:val="00482833"/>
    <w:rsid w:val="00485EB9"/>
    <w:rsid w:val="004860BC"/>
    <w:rsid w:val="004872D3"/>
    <w:rsid w:val="00491E66"/>
    <w:rsid w:val="00492DCF"/>
    <w:rsid w:val="00497F91"/>
    <w:rsid w:val="004A48DA"/>
    <w:rsid w:val="004A6C06"/>
    <w:rsid w:val="004B023A"/>
    <w:rsid w:val="004B0B3B"/>
    <w:rsid w:val="004B1178"/>
    <w:rsid w:val="004C0437"/>
    <w:rsid w:val="004C0F7C"/>
    <w:rsid w:val="004C1F84"/>
    <w:rsid w:val="004C470E"/>
    <w:rsid w:val="004C4863"/>
    <w:rsid w:val="004D16AE"/>
    <w:rsid w:val="004D3E8B"/>
    <w:rsid w:val="004E062B"/>
    <w:rsid w:val="004E0C7C"/>
    <w:rsid w:val="004E32D5"/>
    <w:rsid w:val="004E40AB"/>
    <w:rsid w:val="004E4A84"/>
    <w:rsid w:val="004E4C72"/>
    <w:rsid w:val="004E539F"/>
    <w:rsid w:val="004E60B3"/>
    <w:rsid w:val="004E7D9B"/>
    <w:rsid w:val="004E7F3A"/>
    <w:rsid w:val="004F2454"/>
    <w:rsid w:val="004F2BCA"/>
    <w:rsid w:val="004F6A43"/>
    <w:rsid w:val="00500B26"/>
    <w:rsid w:val="00503CD4"/>
    <w:rsid w:val="0050401F"/>
    <w:rsid w:val="005060CB"/>
    <w:rsid w:val="005126CB"/>
    <w:rsid w:val="00514C32"/>
    <w:rsid w:val="005167DE"/>
    <w:rsid w:val="005172C1"/>
    <w:rsid w:val="0051758D"/>
    <w:rsid w:val="00517B66"/>
    <w:rsid w:val="0052239C"/>
    <w:rsid w:val="00522ABF"/>
    <w:rsid w:val="005255CC"/>
    <w:rsid w:val="0053018E"/>
    <w:rsid w:val="00530F14"/>
    <w:rsid w:val="0053166A"/>
    <w:rsid w:val="0053187A"/>
    <w:rsid w:val="0053308F"/>
    <w:rsid w:val="00533B6D"/>
    <w:rsid w:val="00536738"/>
    <w:rsid w:val="005367A5"/>
    <w:rsid w:val="00537B18"/>
    <w:rsid w:val="005420F0"/>
    <w:rsid w:val="0054267B"/>
    <w:rsid w:val="00544A48"/>
    <w:rsid w:val="00545DD0"/>
    <w:rsid w:val="00547FB4"/>
    <w:rsid w:val="005510CF"/>
    <w:rsid w:val="00552A89"/>
    <w:rsid w:val="00552F7B"/>
    <w:rsid w:val="00553D32"/>
    <w:rsid w:val="00556B4E"/>
    <w:rsid w:val="005614BD"/>
    <w:rsid w:val="0056165E"/>
    <w:rsid w:val="00561B12"/>
    <w:rsid w:val="00565B86"/>
    <w:rsid w:val="00565EB7"/>
    <w:rsid w:val="0057146F"/>
    <w:rsid w:val="0057426C"/>
    <w:rsid w:val="005742B1"/>
    <w:rsid w:val="00574AB7"/>
    <w:rsid w:val="00575490"/>
    <w:rsid w:val="00575F76"/>
    <w:rsid w:val="00580470"/>
    <w:rsid w:val="0058183F"/>
    <w:rsid w:val="005818B7"/>
    <w:rsid w:val="0058270F"/>
    <w:rsid w:val="00585669"/>
    <w:rsid w:val="00586AD0"/>
    <w:rsid w:val="00594FA8"/>
    <w:rsid w:val="00595F3D"/>
    <w:rsid w:val="005A0B94"/>
    <w:rsid w:val="005A108E"/>
    <w:rsid w:val="005A505C"/>
    <w:rsid w:val="005A645D"/>
    <w:rsid w:val="005B1EA7"/>
    <w:rsid w:val="005B2810"/>
    <w:rsid w:val="005B4995"/>
    <w:rsid w:val="005B4C0C"/>
    <w:rsid w:val="005B51B2"/>
    <w:rsid w:val="005C14E3"/>
    <w:rsid w:val="005C15A0"/>
    <w:rsid w:val="005C46FB"/>
    <w:rsid w:val="005C5146"/>
    <w:rsid w:val="005C661B"/>
    <w:rsid w:val="005C6D88"/>
    <w:rsid w:val="005D254A"/>
    <w:rsid w:val="005D2915"/>
    <w:rsid w:val="005D40D8"/>
    <w:rsid w:val="005D6D9F"/>
    <w:rsid w:val="005D7322"/>
    <w:rsid w:val="005D77D0"/>
    <w:rsid w:val="005E2972"/>
    <w:rsid w:val="005E4084"/>
    <w:rsid w:val="005E5031"/>
    <w:rsid w:val="005F1499"/>
    <w:rsid w:val="005F3831"/>
    <w:rsid w:val="005F3E75"/>
    <w:rsid w:val="005F4BD1"/>
    <w:rsid w:val="005F4DE4"/>
    <w:rsid w:val="005F6F2B"/>
    <w:rsid w:val="006000C9"/>
    <w:rsid w:val="0060314A"/>
    <w:rsid w:val="006031AA"/>
    <w:rsid w:val="006041FB"/>
    <w:rsid w:val="00604A38"/>
    <w:rsid w:val="00607453"/>
    <w:rsid w:val="00612BC7"/>
    <w:rsid w:val="00613EAF"/>
    <w:rsid w:val="00615523"/>
    <w:rsid w:val="006157D6"/>
    <w:rsid w:val="0062185D"/>
    <w:rsid w:val="00622BED"/>
    <w:rsid w:val="00624609"/>
    <w:rsid w:val="00626ED5"/>
    <w:rsid w:val="006303EC"/>
    <w:rsid w:val="00631063"/>
    <w:rsid w:val="006315B4"/>
    <w:rsid w:val="00631787"/>
    <w:rsid w:val="006336C8"/>
    <w:rsid w:val="00641A68"/>
    <w:rsid w:val="006479F6"/>
    <w:rsid w:val="0065053D"/>
    <w:rsid w:val="006558BA"/>
    <w:rsid w:val="00660742"/>
    <w:rsid w:val="00660978"/>
    <w:rsid w:val="0066097C"/>
    <w:rsid w:val="00660D6A"/>
    <w:rsid w:val="00666452"/>
    <w:rsid w:val="00667F2E"/>
    <w:rsid w:val="006721FC"/>
    <w:rsid w:val="00673626"/>
    <w:rsid w:val="00674025"/>
    <w:rsid w:val="0067444A"/>
    <w:rsid w:val="00674E1C"/>
    <w:rsid w:val="0067725E"/>
    <w:rsid w:val="00680630"/>
    <w:rsid w:val="00681BF8"/>
    <w:rsid w:val="00682057"/>
    <w:rsid w:val="00682271"/>
    <w:rsid w:val="00682D40"/>
    <w:rsid w:val="006845C1"/>
    <w:rsid w:val="00686485"/>
    <w:rsid w:val="00686B21"/>
    <w:rsid w:val="00687A7B"/>
    <w:rsid w:val="00691684"/>
    <w:rsid w:val="00692758"/>
    <w:rsid w:val="0069620E"/>
    <w:rsid w:val="00696A9E"/>
    <w:rsid w:val="006A01B7"/>
    <w:rsid w:val="006A0A98"/>
    <w:rsid w:val="006A0BEB"/>
    <w:rsid w:val="006A12D1"/>
    <w:rsid w:val="006A1FBC"/>
    <w:rsid w:val="006A25B8"/>
    <w:rsid w:val="006A272F"/>
    <w:rsid w:val="006B2333"/>
    <w:rsid w:val="006B2DE9"/>
    <w:rsid w:val="006B3069"/>
    <w:rsid w:val="006B5BFD"/>
    <w:rsid w:val="006C1B44"/>
    <w:rsid w:val="006C2C30"/>
    <w:rsid w:val="006C3FA2"/>
    <w:rsid w:val="006C49B7"/>
    <w:rsid w:val="006C5181"/>
    <w:rsid w:val="006D08BF"/>
    <w:rsid w:val="006D10B4"/>
    <w:rsid w:val="006D1CBE"/>
    <w:rsid w:val="006D36A4"/>
    <w:rsid w:val="006D39C1"/>
    <w:rsid w:val="006D39E6"/>
    <w:rsid w:val="006D474B"/>
    <w:rsid w:val="006D66CE"/>
    <w:rsid w:val="006D760D"/>
    <w:rsid w:val="006D7BAA"/>
    <w:rsid w:val="006E2C14"/>
    <w:rsid w:val="006E373C"/>
    <w:rsid w:val="006E3BBE"/>
    <w:rsid w:val="006E424E"/>
    <w:rsid w:val="006E4A8D"/>
    <w:rsid w:val="006E5708"/>
    <w:rsid w:val="006E7C55"/>
    <w:rsid w:val="006F00FE"/>
    <w:rsid w:val="006F0290"/>
    <w:rsid w:val="006F0B29"/>
    <w:rsid w:val="006F1DE6"/>
    <w:rsid w:val="006F2613"/>
    <w:rsid w:val="006F73C2"/>
    <w:rsid w:val="006F7EDC"/>
    <w:rsid w:val="0070029A"/>
    <w:rsid w:val="0070050A"/>
    <w:rsid w:val="007023B9"/>
    <w:rsid w:val="00703609"/>
    <w:rsid w:val="00703773"/>
    <w:rsid w:val="00705A2D"/>
    <w:rsid w:val="00705D7F"/>
    <w:rsid w:val="00707E92"/>
    <w:rsid w:val="00710716"/>
    <w:rsid w:val="007122A4"/>
    <w:rsid w:val="00713E93"/>
    <w:rsid w:val="007141BD"/>
    <w:rsid w:val="00714ACF"/>
    <w:rsid w:val="007153BB"/>
    <w:rsid w:val="007208A8"/>
    <w:rsid w:val="0072165C"/>
    <w:rsid w:val="007231CE"/>
    <w:rsid w:val="00724343"/>
    <w:rsid w:val="007255E5"/>
    <w:rsid w:val="007267AB"/>
    <w:rsid w:val="0073092E"/>
    <w:rsid w:val="0073293F"/>
    <w:rsid w:val="0073426C"/>
    <w:rsid w:val="00735486"/>
    <w:rsid w:val="00736C8D"/>
    <w:rsid w:val="00737464"/>
    <w:rsid w:val="00737F0A"/>
    <w:rsid w:val="0074002F"/>
    <w:rsid w:val="00740476"/>
    <w:rsid w:val="00741492"/>
    <w:rsid w:val="00742B96"/>
    <w:rsid w:val="00742BCC"/>
    <w:rsid w:val="00745915"/>
    <w:rsid w:val="007472A6"/>
    <w:rsid w:val="0075187B"/>
    <w:rsid w:val="00755AB2"/>
    <w:rsid w:val="007562B9"/>
    <w:rsid w:val="00760DE9"/>
    <w:rsid w:val="00761823"/>
    <w:rsid w:val="00761A85"/>
    <w:rsid w:val="00762414"/>
    <w:rsid w:val="00764F51"/>
    <w:rsid w:val="00765D77"/>
    <w:rsid w:val="00766820"/>
    <w:rsid w:val="00766831"/>
    <w:rsid w:val="00766F61"/>
    <w:rsid w:val="00767884"/>
    <w:rsid w:val="00767E98"/>
    <w:rsid w:val="00775B29"/>
    <w:rsid w:val="007760D5"/>
    <w:rsid w:val="00777688"/>
    <w:rsid w:val="007839EA"/>
    <w:rsid w:val="007855D5"/>
    <w:rsid w:val="007867FC"/>
    <w:rsid w:val="00786D77"/>
    <w:rsid w:val="0078792E"/>
    <w:rsid w:val="0079151E"/>
    <w:rsid w:val="007929EB"/>
    <w:rsid w:val="007935D6"/>
    <w:rsid w:val="00797A80"/>
    <w:rsid w:val="007A03B9"/>
    <w:rsid w:val="007A10C1"/>
    <w:rsid w:val="007A3B6D"/>
    <w:rsid w:val="007B18EC"/>
    <w:rsid w:val="007B1E64"/>
    <w:rsid w:val="007B24D2"/>
    <w:rsid w:val="007B3B54"/>
    <w:rsid w:val="007B44EC"/>
    <w:rsid w:val="007B47D5"/>
    <w:rsid w:val="007C0523"/>
    <w:rsid w:val="007C09C4"/>
    <w:rsid w:val="007C15FA"/>
    <w:rsid w:val="007C16C8"/>
    <w:rsid w:val="007C341F"/>
    <w:rsid w:val="007C3993"/>
    <w:rsid w:val="007C680C"/>
    <w:rsid w:val="007C6B98"/>
    <w:rsid w:val="007D0DF2"/>
    <w:rsid w:val="007D23D5"/>
    <w:rsid w:val="007D2EC2"/>
    <w:rsid w:val="007D52B4"/>
    <w:rsid w:val="007E2E6E"/>
    <w:rsid w:val="007E6711"/>
    <w:rsid w:val="007E7623"/>
    <w:rsid w:val="007F3E8A"/>
    <w:rsid w:val="007F4400"/>
    <w:rsid w:val="007F5337"/>
    <w:rsid w:val="007F5EC4"/>
    <w:rsid w:val="007F61D3"/>
    <w:rsid w:val="007F6982"/>
    <w:rsid w:val="007F6E18"/>
    <w:rsid w:val="007F72C3"/>
    <w:rsid w:val="008009C4"/>
    <w:rsid w:val="008009DB"/>
    <w:rsid w:val="00800E62"/>
    <w:rsid w:val="008061CE"/>
    <w:rsid w:val="00806962"/>
    <w:rsid w:val="00807438"/>
    <w:rsid w:val="00810A46"/>
    <w:rsid w:val="008147DA"/>
    <w:rsid w:val="00814A5D"/>
    <w:rsid w:val="00815DF3"/>
    <w:rsid w:val="00816595"/>
    <w:rsid w:val="008165EE"/>
    <w:rsid w:val="00817967"/>
    <w:rsid w:val="008214B2"/>
    <w:rsid w:val="008239CE"/>
    <w:rsid w:val="008268D5"/>
    <w:rsid w:val="0082690A"/>
    <w:rsid w:val="00826E47"/>
    <w:rsid w:val="00827241"/>
    <w:rsid w:val="0083071F"/>
    <w:rsid w:val="0083594B"/>
    <w:rsid w:val="00835FA7"/>
    <w:rsid w:val="00843116"/>
    <w:rsid w:val="008431D7"/>
    <w:rsid w:val="008434C2"/>
    <w:rsid w:val="00845249"/>
    <w:rsid w:val="00845AF8"/>
    <w:rsid w:val="008460E5"/>
    <w:rsid w:val="0084766D"/>
    <w:rsid w:val="0085170A"/>
    <w:rsid w:val="0085340B"/>
    <w:rsid w:val="00855979"/>
    <w:rsid w:val="00855D8C"/>
    <w:rsid w:val="008563E3"/>
    <w:rsid w:val="00857A63"/>
    <w:rsid w:val="00862319"/>
    <w:rsid w:val="00863048"/>
    <w:rsid w:val="008630E0"/>
    <w:rsid w:val="00865899"/>
    <w:rsid w:val="008675D7"/>
    <w:rsid w:val="008677C1"/>
    <w:rsid w:val="00873870"/>
    <w:rsid w:val="00881435"/>
    <w:rsid w:val="008824A1"/>
    <w:rsid w:val="00882615"/>
    <w:rsid w:val="0088267E"/>
    <w:rsid w:val="00884B13"/>
    <w:rsid w:val="00885091"/>
    <w:rsid w:val="00885E89"/>
    <w:rsid w:val="00892F16"/>
    <w:rsid w:val="00894F77"/>
    <w:rsid w:val="00896E4E"/>
    <w:rsid w:val="0089723A"/>
    <w:rsid w:val="008977A2"/>
    <w:rsid w:val="008A006D"/>
    <w:rsid w:val="008A0F07"/>
    <w:rsid w:val="008A56CE"/>
    <w:rsid w:val="008A5B6D"/>
    <w:rsid w:val="008A67CA"/>
    <w:rsid w:val="008B3282"/>
    <w:rsid w:val="008B6699"/>
    <w:rsid w:val="008B6B80"/>
    <w:rsid w:val="008C15AD"/>
    <w:rsid w:val="008C38DB"/>
    <w:rsid w:val="008C591E"/>
    <w:rsid w:val="008C605D"/>
    <w:rsid w:val="008C65C2"/>
    <w:rsid w:val="008C72CC"/>
    <w:rsid w:val="008C7CCD"/>
    <w:rsid w:val="008D170B"/>
    <w:rsid w:val="008D1EF8"/>
    <w:rsid w:val="008D38E7"/>
    <w:rsid w:val="008D7283"/>
    <w:rsid w:val="008E2393"/>
    <w:rsid w:val="008E5D31"/>
    <w:rsid w:val="008E6656"/>
    <w:rsid w:val="008E691B"/>
    <w:rsid w:val="008F7601"/>
    <w:rsid w:val="009002F1"/>
    <w:rsid w:val="00900BA2"/>
    <w:rsid w:val="009014E9"/>
    <w:rsid w:val="00902710"/>
    <w:rsid w:val="00903850"/>
    <w:rsid w:val="0090402A"/>
    <w:rsid w:val="00905412"/>
    <w:rsid w:val="0090626C"/>
    <w:rsid w:val="0090646D"/>
    <w:rsid w:val="0090776E"/>
    <w:rsid w:val="009132C6"/>
    <w:rsid w:val="0091545B"/>
    <w:rsid w:val="0091664E"/>
    <w:rsid w:val="00917BC3"/>
    <w:rsid w:val="009209E3"/>
    <w:rsid w:val="00921094"/>
    <w:rsid w:val="00922235"/>
    <w:rsid w:val="009252E3"/>
    <w:rsid w:val="0092624F"/>
    <w:rsid w:val="00930600"/>
    <w:rsid w:val="009308B8"/>
    <w:rsid w:val="00930A40"/>
    <w:rsid w:val="009311A1"/>
    <w:rsid w:val="00933C86"/>
    <w:rsid w:val="00933FA7"/>
    <w:rsid w:val="0093636E"/>
    <w:rsid w:val="00937B23"/>
    <w:rsid w:val="009401D0"/>
    <w:rsid w:val="00942A6F"/>
    <w:rsid w:val="009439FD"/>
    <w:rsid w:val="009440C5"/>
    <w:rsid w:val="00944CD8"/>
    <w:rsid w:val="00944D95"/>
    <w:rsid w:val="009475E8"/>
    <w:rsid w:val="0095185C"/>
    <w:rsid w:val="00954A06"/>
    <w:rsid w:val="009567AE"/>
    <w:rsid w:val="00956F8E"/>
    <w:rsid w:val="00964A50"/>
    <w:rsid w:val="00965991"/>
    <w:rsid w:val="009675BA"/>
    <w:rsid w:val="00976FF2"/>
    <w:rsid w:val="00980484"/>
    <w:rsid w:val="00980667"/>
    <w:rsid w:val="009807C3"/>
    <w:rsid w:val="00983D32"/>
    <w:rsid w:val="009864D4"/>
    <w:rsid w:val="009865AB"/>
    <w:rsid w:val="00987A81"/>
    <w:rsid w:val="00990FEA"/>
    <w:rsid w:val="0099125D"/>
    <w:rsid w:val="00991531"/>
    <w:rsid w:val="00994699"/>
    <w:rsid w:val="00994CDC"/>
    <w:rsid w:val="00995832"/>
    <w:rsid w:val="00997CBB"/>
    <w:rsid w:val="009A0E2A"/>
    <w:rsid w:val="009A1FD0"/>
    <w:rsid w:val="009A2166"/>
    <w:rsid w:val="009A2511"/>
    <w:rsid w:val="009A5551"/>
    <w:rsid w:val="009A580D"/>
    <w:rsid w:val="009A67A9"/>
    <w:rsid w:val="009A759B"/>
    <w:rsid w:val="009B2D74"/>
    <w:rsid w:val="009B7130"/>
    <w:rsid w:val="009C47CF"/>
    <w:rsid w:val="009C5156"/>
    <w:rsid w:val="009C78B9"/>
    <w:rsid w:val="009D0990"/>
    <w:rsid w:val="009D1B31"/>
    <w:rsid w:val="009D3782"/>
    <w:rsid w:val="009D3C8A"/>
    <w:rsid w:val="009D65AF"/>
    <w:rsid w:val="009D6CC4"/>
    <w:rsid w:val="009D7163"/>
    <w:rsid w:val="009D7466"/>
    <w:rsid w:val="009E1829"/>
    <w:rsid w:val="009E3EA7"/>
    <w:rsid w:val="009E4239"/>
    <w:rsid w:val="009E5358"/>
    <w:rsid w:val="009F1D67"/>
    <w:rsid w:val="009F4553"/>
    <w:rsid w:val="009F622C"/>
    <w:rsid w:val="009F68D3"/>
    <w:rsid w:val="009F7194"/>
    <w:rsid w:val="00A0448B"/>
    <w:rsid w:val="00A059A8"/>
    <w:rsid w:val="00A06F0E"/>
    <w:rsid w:val="00A105BE"/>
    <w:rsid w:val="00A119DB"/>
    <w:rsid w:val="00A12AFA"/>
    <w:rsid w:val="00A12C8E"/>
    <w:rsid w:val="00A1346B"/>
    <w:rsid w:val="00A14D81"/>
    <w:rsid w:val="00A1608B"/>
    <w:rsid w:val="00A16CD4"/>
    <w:rsid w:val="00A17302"/>
    <w:rsid w:val="00A21D3D"/>
    <w:rsid w:val="00A22D5D"/>
    <w:rsid w:val="00A249D6"/>
    <w:rsid w:val="00A2544C"/>
    <w:rsid w:val="00A26636"/>
    <w:rsid w:val="00A26E00"/>
    <w:rsid w:val="00A2748E"/>
    <w:rsid w:val="00A300F9"/>
    <w:rsid w:val="00A3037C"/>
    <w:rsid w:val="00A3279F"/>
    <w:rsid w:val="00A344E7"/>
    <w:rsid w:val="00A4098A"/>
    <w:rsid w:val="00A41FFD"/>
    <w:rsid w:val="00A461D7"/>
    <w:rsid w:val="00A50039"/>
    <w:rsid w:val="00A5163D"/>
    <w:rsid w:val="00A529F2"/>
    <w:rsid w:val="00A53B04"/>
    <w:rsid w:val="00A5416C"/>
    <w:rsid w:val="00A54206"/>
    <w:rsid w:val="00A54581"/>
    <w:rsid w:val="00A5599D"/>
    <w:rsid w:val="00A55AFB"/>
    <w:rsid w:val="00A57C68"/>
    <w:rsid w:val="00A60195"/>
    <w:rsid w:val="00A60231"/>
    <w:rsid w:val="00A60951"/>
    <w:rsid w:val="00A6618F"/>
    <w:rsid w:val="00A67224"/>
    <w:rsid w:val="00A67560"/>
    <w:rsid w:val="00A67B3F"/>
    <w:rsid w:val="00A67BFE"/>
    <w:rsid w:val="00A7000B"/>
    <w:rsid w:val="00A7008C"/>
    <w:rsid w:val="00A71DE2"/>
    <w:rsid w:val="00A73822"/>
    <w:rsid w:val="00A7460A"/>
    <w:rsid w:val="00A762A2"/>
    <w:rsid w:val="00A76A81"/>
    <w:rsid w:val="00A76BC9"/>
    <w:rsid w:val="00A77ECC"/>
    <w:rsid w:val="00A820F5"/>
    <w:rsid w:val="00A82595"/>
    <w:rsid w:val="00A833C7"/>
    <w:rsid w:val="00A860AD"/>
    <w:rsid w:val="00A90197"/>
    <w:rsid w:val="00A9136D"/>
    <w:rsid w:val="00A926D1"/>
    <w:rsid w:val="00A93B38"/>
    <w:rsid w:val="00A978EC"/>
    <w:rsid w:val="00AA40E1"/>
    <w:rsid w:val="00AA4615"/>
    <w:rsid w:val="00AA4BF4"/>
    <w:rsid w:val="00AA4E41"/>
    <w:rsid w:val="00AA5A1C"/>
    <w:rsid w:val="00AA5B39"/>
    <w:rsid w:val="00AA63E8"/>
    <w:rsid w:val="00AA7811"/>
    <w:rsid w:val="00AB064B"/>
    <w:rsid w:val="00AB0685"/>
    <w:rsid w:val="00AB084C"/>
    <w:rsid w:val="00AB2393"/>
    <w:rsid w:val="00AB48D9"/>
    <w:rsid w:val="00AB51DF"/>
    <w:rsid w:val="00AB6EB5"/>
    <w:rsid w:val="00AC1F38"/>
    <w:rsid w:val="00AC36E3"/>
    <w:rsid w:val="00AC3DDB"/>
    <w:rsid w:val="00AC53C1"/>
    <w:rsid w:val="00AC770F"/>
    <w:rsid w:val="00AD0DD4"/>
    <w:rsid w:val="00AD7085"/>
    <w:rsid w:val="00AE0B4F"/>
    <w:rsid w:val="00AE139F"/>
    <w:rsid w:val="00AE1CA4"/>
    <w:rsid w:val="00AE5D51"/>
    <w:rsid w:val="00AE796D"/>
    <w:rsid w:val="00AF04B9"/>
    <w:rsid w:val="00AF37FC"/>
    <w:rsid w:val="00AF4A6B"/>
    <w:rsid w:val="00AF6B81"/>
    <w:rsid w:val="00AF70D3"/>
    <w:rsid w:val="00B01897"/>
    <w:rsid w:val="00B02CDD"/>
    <w:rsid w:val="00B039FB"/>
    <w:rsid w:val="00B06873"/>
    <w:rsid w:val="00B06ADF"/>
    <w:rsid w:val="00B07B5B"/>
    <w:rsid w:val="00B10E92"/>
    <w:rsid w:val="00B12580"/>
    <w:rsid w:val="00B12A25"/>
    <w:rsid w:val="00B13AA3"/>
    <w:rsid w:val="00B169DE"/>
    <w:rsid w:val="00B20D4D"/>
    <w:rsid w:val="00B2231E"/>
    <w:rsid w:val="00B22AA1"/>
    <w:rsid w:val="00B22D82"/>
    <w:rsid w:val="00B25837"/>
    <w:rsid w:val="00B269E0"/>
    <w:rsid w:val="00B27FC0"/>
    <w:rsid w:val="00B3053C"/>
    <w:rsid w:val="00B32B59"/>
    <w:rsid w:val="00B34A14"/>
    <w:rsid w:val="00B40462"/>
    <w:rsid w:val="00B404FD"/>
    <w:rsid w:val="00B4137B"/>
    <w:rsid w:val="00B415F1"/>
    <w:rsid w:val="00B417CE"/>
    <w:rsid w:val="00B43B1D"/>
    <w:rsid w:val="00B45E44"/>
    <w:rsid w:val="00B46F72"/>
    <w:rsid w:val="00B47151"/>
    <w:rsid w:val="00B47DF2"/>
    <w:rsid w:val="00B50C4B"/>
    <w:rsid w:val="00B51BCE"/>
    <w:rsid w:val="00B534D9"/>
    <w:rsid w:val="00B602B6"/>
    <w:rsid w:val="00B61C48"/>
    <w:rsid w:val="00B6206F"/>
    <w:rsid w:val="00B630B6"/>
    <w:rsid w:val="00B63E33"/>
    <w:rsid w:val="00B64C5D"/>
    <w:rsid w:val="00B66A43"/>
    <w:rsid w:val="00B67BBE"/>
    <w:rsid w:val="00B71E9F"/>
    <w:rsid w:val="00B73756"/>
    <w:rsid w:val="00B76BA7"/>
    <w:rsid w:val="00B825F2"/>
    <w:rsid w:val="00B82F05"/>
    <w:rsid w:val="00B83095"/>
    <w:rsid w:val="00B851CD"/>
    <w:rsid w:val="00B86F49"/>
    <w:rsid w:val="00B91327"/>
    <w:rsid w:val="00B92317"/>
    <w:rsid w:val="00B92697"/>
    <w:rsid w:val="00B93436"/>
    <w:rsid w:val="00B93BF2"/>
    <w:rsid w:val="00B968BE"/>
    <w:rsid w:val="00BA2D92"/>
    <w:rsid w:val="00BA4DBC"/>
    <w:rsid w:val="00BA4FCD"/>
    <w:rsid w:val="00BA769E"/>
    <w:rsid w:val="00BA7968"/>
    <w:rsid w:val="00BB06B3"/>
    <w:rsid w:val="00BB1EF2"/>
    <w:rsid w:val="00BB43B1"/>
    <w:rsid w:val="00BC0F63"/>
    <w:rsid w:val="00BC22BF"/>
    <w:rsid w:val="00BC72D8"/>
    <w:rsid w:val="00BD044E"/>
    <w:rsid w:val="00BD556B"/>
    <w:rsid w:val="00BD65D2"/>
    <w:rsid w:val="00BE02AB"/>
    <w:rsid w:val="00BE207B"/>
    <w:rsid w:val="00BE2BBB"/>
    <w:rsid w:val="00BE7803"/>
    <w:rsid w:val="00BF0A7F"/>
    <w:rsid w:val="00BF185B"/>
    <w:rsid w:val="00BF2C16"/>
    <w:rsid w:val="00BF327A"/>
    <w:rsid w:val="00BF3604"/>
    <w:rsid w:val="00BF4C7D"/>
    <w:rsid w:val="00BF4D42"/>
    <w:rsid w:val="00BF6092"/>
    <w:rsid w:val="00C003F7"/>
    <w:rsid w:val="00C0092D"/>
    <w:rsid w:val="00C01835"/>
    <w:rsid w:val="00C02D18"/>
    <w:rsid w:val="00C03A04"/>
    <w:rsid w:val="00C045CD"/>
    <w:rsid w:val="00C0496A"/>
    <w:rsid w:val="00C06BBB"/>
    <w:rsid w:val="00C070AC"/>
    <w:rsid w:val="00C108E7"/>
    <w:rsid w:val="00C1096D"/>
    <w:rsid w:val="00C12D18"/>
    <w:rsid w:val="00C14901"/>
    <w:rsid w:val="00C15BA5"/>
    <w:rsid w:val="00C174C1"/>
    <w:rsid w:val="00C248AD"/>
    <w:rsid w:val="00C24CA1"/>
    <w:rsid w:val="00C254C2"/>
    <w:rsid w:val="00C27C99"/>
    <w:rsid w:val="00C30967"/>
    <w:rsid w:val="00C319AC"/>
    <w:rsid w:val="00C321BB"/>
    <w:rsid w:val="00C35040"/>
    <w:rsid w:val="00C35F48"/>
    <w:rsid w:val="00C44519"/>
    <w:rsid w:val="00C45AFA"/>
    <w:rsid w:val="00C45C63"/>
    <w:rsid w:val="00C50906"/>
    <w:rsid w:val="00C547D7"/>
    <w:rsid w:val="00C551C6"/>
    <w:rsid w:val="00C5665B"/>
    <w:rsid w:val="00C573A7"/>
    <w:rsid w:val="00C600FF"/>
    <w:rsid w:val="00C60C2B"/>
    <w:rsid w:val="00C6642C"/>
    <w:rsid w:val="00C66E6B"/>
    <w:rsid w:val="00C71B0C"/>
    <w:rsid w:val="00C72271"/>
    <w:rsid w:val="00C80847"/>
    <w:rsid w:val="00C80DF9"/>
    <w:rsid w:val="00C82299"/>
    <w:rsid w:val="00C845CC"/>
    <w:rsid w:val="00C848F3"/>
    <w:rsid w:val="00C85786"/>
    <w:rsid w:val="00C85CBF"/>
    <w:rsid w:val="00C867D6"/>
    <w:rsid w:val="00C87574"/>
    <w:rsid w:val="00C87C3B"/>
    <w:rsid w:val="00C916C6"/>
    <w:rsid w:val="00C91A40"/>
    <w:rsid w:val="00C931A7"/>
    <w:rsid w:val="00C93D1A"/>
    <w:rsid w:val="00CA57A4"/>
    <w:rsid w:val="00CA73F8"/>
    <w:rsid w:val="00CB0824"/>
    <w:rsid w:val="00CB6592"/>
    <w:rsid w:val="00CB6886"/>
    <w:rsid w:val="00CC018A"/>
    <w:rsid w:val="00CC2F7F"/>
    <w:rsid w:val="00CC34A0"/>
    <w:rsid w:val="00CC61E5"/>
    <w:rsid w:val="00CC6579"/>
    <w:rsid w:val="00CC6F80"/>
    <w:rsid w:val="00CC7DA4"/>
    <w:rsid w:val="00CD029D"/>
    <w:rsid w:val="00CD112E"/>
    <w:rsid w:val="00CD34D2"/>
    <w:rsid w:val="00CD3C09"/>
    <w:rsid w:val="00CD4E9C"/>
    <w:rsid w:val="00CD6E27"/>
    <w:rsid w:val="00CE01AF"/>
    <w:rsid w:val="00CE0AA0"/>
    <w:rsid w:val="00CE3A29"/>
    <w:rsid w:val="00CE3C07"/>
    <w:rsid w:val="00CE45CB"/>
    <w:rsid w:val="00CE5EC7"/>
    <w:rsid w:val="00CE6132"/>
    <w:rsid w:val="00CE6EB9"/>
    <w:rsid w:val="00CF0A22"/>
    <w:rsid w:val="00CF4411"/>
    <w:rsid w:val="00CF4E7C"/>
    <w:rsid w:val="00CF4FD9"/>
    <w:rsid w:val="00CF6A94"/>
    <w:rsid w:val="00CF7F56"/>
    <w:rsid w:val="00D03E58"/>
    <w:rsid w:val="00D04F4C"/>
    <w:rsid w:val="00D053D3"/>
    <w:rsid w:val="00D05968"/>
    <w:rsid w:val="00D11081"/>
    <w:rsid w:val="00D117DB"/>
    <w:rsid w:val="00D11A4E"/>
    <w:rsid w:val="00D12024"/>
    <w:rsid w:val="00D12A5F"/>
    <w:rsid w:val="00D13FF1"/>
    <w:rsid w:val="00D14600"/>
    <w:rsid w:val="00D15EBF"/>
    <w:rsid w:val="00D16473"/>
    <w:rsid w:val="00D17125"/>
    <w:rsid w:val="00D17615"/>
    <w:rsid w:val="00D2048C"/>
    <w:rsid w:val="00D21373"/>
    <w:rsid w:val="00D22DCA"/>
    <w:rsid w:val="00D233C3"/>
    <w:rsid w:val="00D2666C"/>
    <w:rsid w:val="00D34AEE"/>
    <w:rsid w:val="00D35286"/>
    <w:rsid w:val="00D354D6"/>
    <w:rsid w:val="00D421E5"/>
    <w:rsid w:val="00D43C9D"/>
    <w:rsid w:val="00D450FF"/>
    <w:rsid w:val="00D46424"/>
    <w:rsid w:val="00D4683F"/>
    <w:rsid w:val="00D50482"/>
    <w:rsid w:val="00D525B8"/>
    <w:rsid w:val="00D52812"/>
    <w:rsid w:val="00D53112"/>
    <w:rsid w:val="00D53219"/>
    <w:rsid w:val="00D56682"/>
    <w:rsid w:val="00D57960"/>
    <w:rsid w:val="00D60CAC"/>
    <w:rsid w:val="00D60E2D"/>
    <w:rsid w:val="00D629A4"/>
    <w:rsid w:val="00D629C1"/>
    <w:rsid w:val="00D65511"/>
    <w:rsid w:val="00D66C60"/>
    <w:rsid w:val="00D66D41"/>
    <w:rsid w:val="00D67740"/>
    <w:rsid w:val="00D67D9C"/>
    <w:rsid w:val="00D67F2D"/>
    <w:rsid w:val="00D7086B"/>
    <w:rsid w:val="00D711D3"/>
    <w:rsid w:val="00D71361"/>
    <w:rsid w:val="00D73E33"/>
    <w:rsid w:val="00D741C4"/>
    <w:rsid w:val="00D767FC"/>
    <w:rsid w:val="00D77D96"/>
    <w:rsid w:val="00D826E5"/>
    <w:rsid w:val="00D857D4"/>
    <w:rsid w:val="00D873B8"/>
    <w:rsid w:val="00D90C45"/>
    <w:rsid w:val="00D9111A"/>
    <w:rsid w:val="00D91C2A"/>
    <w:rsid w:val="00D91E24"/>
    <w:rsid w:val="00D95C55"/>
    <w:rsid w:val="00D95FDC"/>
    <w:rsid w:val="00D96657"/>
    <w:rsid w:val="00DA49AD"/>
    <w:rsid w:val="00DA4B76"/>
    <w:rsid w:val="00DA6E0E"/>
    <w:rsid w:val="00DA763A"/>
    <w:rsid w:val="00DB09A9"/>
    <w:rsid w:val="00DB136D"/>
    <w:rsid w:val="00DB1D34"/>
    <w:rsid w:val="00DB778D"/>
    <w:rsid w:val="00DB7E4D"/>
    <w:rsid w:val="00DC27AC"/>
    <w:rsid w:val="00DC6569"/>
    <w:rsid w:val="00DC7069"/>
    <w:rsid w:val="00DC777F"/>
    <w:rsid w:val="00DD0367"/>
    <w:rsid w:val="00DD03B3"/>
    <w:rsid w:val="00DD0908"/>
    <w:rsid w:val="00DD2C4F"/>
    <w:rsid w:val="00DD2F70"/>
    <w:rsid w:val="00DD6A31"/>
    <w:rsid w:val="00DD7844"/>
    <w:rsid w:val="00DD79ED"/>
    <w:rsid w:val="00DE49D2"/>
    <w:rsid w:val="00DE7A5F"/>
    <w:rsid w:val="00DF0CC4"/>
    <w:rsid w:val="00DF1759"/>
    <w:rsid w:val="00DF6CB6"/>
    <w:rsid w:val="00E02DE7"/>
    <w:rsid w:val="00E04753"/>
    <w:rsid w:val="00E05BFA"/>
    <w:rsid w:val="00E068ED"/>
    <w:rsid w:val="00E12564"/>
    <w:rsid w:val="00E132D3"/>
    <w:rsid w:val="00E13C24"/>
    <w:rsid w:val="00E172FA"/>
    <w:rsid w:val="00E227C4"/>
    <w:rsid w:val="00E253E2"/>
    <w:rsid w:val="00E26C26"/>
    <w:rsid w:val="00E27657"/>
    <w:rsid w:val="00E32F9F"/>
    <w:rsid w:val="00E41700"/>
    <w:rsid w:val="00E42A99"/>
    <w:rsid w:val="00E449ED"/>
    <w:rsid w:val="00E45B8A"/>
    <w:rsid w:val="00E47E7B"/>
    <w:rsid w:val="00E51749"/>
    <w:rsid w:val="00E52204"/>
    <w:rsid w:val="00E55A3B"/>
    <w:rsid w:val="00E56923"/>
    <w:rsid w:val="00E60CB3"/>
    <w:rsid w:val="00E61CAF"/>
    <w:rsid w:val="00E62F2C"/>
    <w:rsid w:val="00E7058D"/>
    <w:rsid w:val="00E710F9"/>
    <w:rsid w:val="00E73AD9"/>
    <w:rsid w:val="00E74AF5"/>
    <w:rsid w:val="00E760CF"/>
    <w:rsid w:val="00E77479"/>
    <w:rsid w:val="00E83BA8"/>
    <w:rsid w:val="00E859E0"/>
    <w:rsid w:val="00E85E07"/>
    <w:rsid w:val="00E87445"/>
    <w:rsid w:val="00E96C9E"/>
    <w:rsid w:val="00EA0B6C"/>
    <w:rsid w:val="00EA30BC"/>
    <w:rsid w:val="00EA3E42"/>
    <w:rsid w:val="00EA7FC5"/>
    <w:rsid w:val="00EB2ACC"/>
    <w:rsid w:val="00EB37CE"/>
    <w:rsid w:val="00EB4D33"/>
    <w:rsid w:val="00EB56FD"/>
    <w:rsid w:val="00EB6191"/>
    <w:rsid w:val="00EB7DDF"/>
    <w:rsid w:val="00EC460E"/>
    <w:rsid w:val="00EC61C2"/>
    <w:rsid w:val="00EC7824"/>
    <w:rsid w:val="00ED0720"/>
    <w:rsid w:val="00ED0BB7"/>
    <w:rsid w:val="00ED0EB7"/>
    <w:rsid w:val="00ED2543"/>
    <w:rsid w:val="00ED3BF5"/>
    <w:rsid w:val="00ED6E03"/>
    <w:rsid w:val="00EE2F20"/>
    <w:rsid w:val="00EE5B19"/>
    <w:rsid w:val="00EE6FC2"/>
    <w:rsid w:val="00EE7CD1"/>
    <w:rsid w:val="00EE7D30"/>
    <w:rsid w:val="00EE7D3B"/>
    <w:rsid w:val="00EF1923"/>
    <w:rsid w:val="00EF1F44"/>
    <w:rsid w:val="00EF404E"/>
    <w:rsid w:val="00EF5E2C"/>
    <w:rsid w:val="00EF6260"/>
    <w:rsid w:val="00EF6FB7"/>
    <w:rsid w:val="00EF71F8"/>
    <w:rsid w:val="00F038B5"/>
    <w:rsid w:val="00F104F0"/>
    <w:rsid w:val="00F10E62"/>
    <w:rsid w:val="00F11F92"/>
    <w:rsid w:val="00F13B58"/>
    <w:rsid w:val="00F2733D"/>
    <w:rsid w:val="00F33B8B"/>
    <w:rsid w:val="00F342A4"/>
    <w:rsid w:val="00F35764"/>
    <w:rsid w:val="00F360FC"/>
    <w:rsid w:val="00F37D50"/>
    <w:rsid w:val="00F43F4C"/>
    <w:rsid w:val="00F44336"/>
    <w:rsid w:val="00F465C6"/>
    <w:rsid w:val="00F47D55"/>
    <w:rsid w:val="00F52E97"/>
    <w:rsid w:val="00F5404B"/>
    <w:rsid w:val="00F5524D"/>
    <w:rsid w:val="00F55FEB"/>
    <w:rsid w:val="00F56D85"/>
    <w:rsid w:val="00F67273"/>
    <w:rsid w:val="00F719E3"/>
    <w:rsid w:val="00F72198"/>
    <w:rsid w:val="00F729A0"/>
    <w:rsid w:val="00F76308"/>
    <w:rsid w:val="00F81749"/>
    <w:rsid w:val="00F82989"/>
    <w:rsid w:val="00F83294"/>
    <w:rsid w:val="00F83FFD"/>
    <w:rsid w:val="00F84194"/>
    <w:rsid w:val="00F86267"/>
    <w:rsid w:val="00F8732C"/>
    <w:rsid w:val="00F87705"/>
    <w:rsid w:val="00F90C36"/>
    <w:rsid w:val="00F92AE4"/>
    <w:rsid w:val="00F92D19"/>
    <w:rsid w:val="00F969EE"/>
    <w:rsid w:val="00F97ADC"/>
    <w:rsid w:val="00FA196A"/>
    <w:rsid w:val="00FA1B14"/>
    <w:rsid w:val="00FA264B"/>
    <w:rsid w:val="00FA3EA6"/>
    <w:rsid w:val="00FA4D37"/>
    <w:rsid w:val="00FB0624"/>
    <w:rsid w:val="00FB46BE"/>
    <w:rsid w:val="00FB6A88"/>
    <w:rsid w:val="00FC07D3"/>
    <w:rsid w:val="00FC0D55"/>
    <w:rsid w:val="00FC14D1"/>
    <w:rsid w:val="00FC1713"/>
    <w:rsid w:val="00FC1F61"/>
    <w:rsid w:val="00FC43AB"/>
    <w:rsid w:val="00FC6AE6"/>
    <w:rsid w:val="00FC75A3"/>
    <w:rsid w:val="00FD05C4"/>
    <w:rsid w:val="00FD2CAA"/>
    <w:rsid w:val="00FD5690"/>
    <w:rsid w:val="00FD5DD8"/>
    <w:rsid w:val="00FE4529"/>
    <w:rsid w:val="00FE4DEA"/>
    <w:rsid w:val="00FE55BA"/>
    <w:rsid w:val="00FE7731"/>
    <w:rsid w:val="00FF149B"/>
    <w:rsid w:val="00FF25E9"/>
    <w:rsid w:val="00FF4CD7"/>
    <w:rsid w:val="00FF75D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9B1D0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73D1"/>
    <w:rPr>
      <w:rFonts w:ascii="Times New Roman" w:eastAsia="Times New Roman" w:hAnsi="Times New Roman"/>
      <w:sz w:val="24"/>
      <w:szCs w:val="24"/>
    </w:rPr>
  </w:style>
  <w:style w:type="paragraph" w:styleId="Heading1">
    <w:name w:val="heading 1"/>
    <w:basedOn w:val="Normal"/>
    <w:next w:val="Normal"/>
    <w:link w:val="Heading1Char"/>
    <w:qFormat/>
    <w:rsid w:val="00A50039"/>
    <w:pPr>
      <w:keepNext/>
      <w:outlineLvl w:val="0"/>
    </w:pPr>
    <w:rPr>
      <w:szCs w:val="20"/>
      <w:lang w:val="x-none" w:eastAsia="x-none"/>
    </w:rPr>
  </w:style>
  <w:style w:type="paragraph" w:styleId="Heading3">
    <w:name w:val="heading 3"/>
    <w:basedOn w:val="Normal"/>
    <w:next w:val="Normal"/>
    <w:link w:val="Heading3Char"/>
    <w:uiPriority w:val="9"/>
    <w:semiHidden/>
    <w:unhideWhenUsed/>
    <w:qFormat/>
    <w:rsid w:val="002B6C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1D0"/>
    <w:pPr>
      <w:tabs>
        <w:tab w:val="center" w:pos="4320"/>
        <w:tab w:val="right" w:pos="8640"/>
      </w:tabs>
    </w:pPr>
  </w:style>
  <w:style w:type="character" w:customStyle="1" w:styleId="HeaderChar">
    <w:name w:val="Header Char"/>
    <w:basedOn w:val="DefaultParagraphFont"/>
    <w:link w:val="Header"/>
    <w:uiPriority w:val="99"/>
    <w:rsid w:val="009401D0"/>
  </w:style>
  <w:style w:type="paragraph" w:styleId="Footer">
    <w:name w:val="footer"/>
    <w:basedOn w:val="Normal"/>
    <w:link w:val="FooterChar"/>
    <w:uiPriority w:val="99"/>
    <w:unhideWhenUsed/>
    <w:rsid w:val="009401D0"/>
    <w:pPr>
      <w:tabs>
        <w:tab w:val="center" w:pos="4320"/>
        <w:tab w:val="right" w:pos="8640"/>
      </w:tabs>
    </w:pPr>
  </w:style>
  <w:style w:type="character" w:customStyle="1" w:styleId="FooterChar">
    <w:name w:val="Footer Char"/>
    <w:basedOn w:val="DefaultParagraphFont"/>
    <w:link w:val="Footer"/>
    <w:uiPriority w:val="99"/>
    <w:rsid w:val="009401D0"/>
  </w:style>
  <w:style w:type="paragraph" w:styleId="BodyText">
    <w:name w:val="Body Text"/>
    <w:basedOn w:val="Normal"/>
    <w:link w:val="BodyTextChar"/>
    <w:rsid w:val="00E45B6D"/>
    <w:rPr>
      <w:rFonts w:ascii="Courier New" w:hAnsi="Courier New"/>
      <w:szCs w:val="20"/>
      <w:lang w:val="x-none" w:eastAsia="x-none"/>
    </w:rPr>
  </w:style>
  <w:style w:type="character" w:customStyle="1" w:styleId="BodyTextChar">
    <w:name w:val="Body Text Char"/>
    <w:link w:val="BodyText"/>
    <w:rsid w:val="00E45B6D"/>
    <w:rPr>
      <w:rFonts w:ascii="Courier New" w:eastAsia="Times New Roman" w:hAnsi="Courier New"/>
      <w:sz w:val="24"/>
    </w:rPr>
  </w:style>
  <w:style w:type="paragraph" w:styleId="BodyText3">
    <w:name w:val="Body Text 3"/>
    <w:basedOn w:val="Normal"/>
    <w:link w:val="BodyText3Char"/>
    <w:rsid w:val="00E45B6D"/>
    <w:pPr>
      <w:spacing w:after="120"/>
    </w:pPr>
    <w:rPr>
      <w:sz w:val="16"/>
      <w:szCs w:val="16"/>
      <w:lang w:val="x-none" w:eastAsia="x-none"/>
    </w:rPr>
  </w:style>
  <w:style w:type="character" w:customStyle="1" w:styleId="BodyText3Char">
    <w:name w:val="Body Text 3 Char"/>
    <w:link w:val="BodyText3"/>
    <w:rsid w:val="00E45B6D"/>
    <w:rPr>
      <w:rFonts w:ascii="Times New Roman" w:eastAsia="Times New Roman" w:hAnsi="Times New Roman"/>
      <w:sz w:val="16"/>
      <w:szCs w:val="16"/>
    </w:rPr>
  </w:style>
  <w:style w:type="paragraph" w:customStyle="1" w:styleId="DataField11pt">
    <w:name w:val="Data Field 11pt"/>
    <w:basedOn w:val="Normal"/>
    <w:rsid w:val="00597424"/>
    <w:pPr>
      <w:autoSpaceDE w:val="0"/>
      <w:autoSpaceDN w:val="0"/>
      <w:spacing w:line="300" w:lineRule="exact"/>
    </w:pPr>
    <w:rPr>
      <w:rFonts w:ascii="Arial" w:hAnsi="Arial" w:cs="Arial"/>
      <w:sz w:val="22"/>
      <w:szCs w:val="20"/>
    </w:rPr>
  </w:style>
  <w:style w:type="table" w:styleId="TableGrid">
    <w:name w:val="Table Grid"/>
    <w:basedOn w:val="TableNormal"/>
    <w:uiPriority w:val="39"/>
    <w:rsid w:val="007367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dtitle1">
    <w:name w:val="addtitle1"/>
    <w:basedOn w:val="DefaultParagraphFont"/>
    <w:rsid w:val="00980667"/>
  </w:style>
  <w:style w:type="paragraph" w:customStyle="1" w:styleId="Default">
    <w:name w:val="Default"/>
    <w:rsid w:val="00452FD4"/>
    <w:pPr>
      <w:widowControl w:val="0"/>
      <w:autoSpaceDE w:val="0"/>
      <w:autoSpaceDN w:val="0"/>
      <w:adjustRightInd w:val="0"/>
    </w:pPr>
    <w:rPr>
      <w:rFonts w:ascii="Times New Roman" w:eastAsia="MS Mincho" w:hAnsi="Times New Roman"/>
      <w:color w:val="000000"/>
      <w:sz w:val="24"/>
      <w:szCs w:val="24"/>
    </w:rPr>
  </w:style>
  <w:style w:type="character" w:styleId="Hyperlink">
    <w:name w:val="Hyperlink"/>
    <w:uiPriority w:val="99"/>
    <w:unhideWhenUsed/>
    <w:rsid w:val="00346CF0"/>
    <w:rPr>
      <w:color w:val="0000FF"/>
      <w:u w:val="single"/>
    </w:rPr>
  </w:style>
  <w:style w:type="character" w:customStyle="1" w:styleId="Heading1Char">
    <w:name w:val="Heading 1 Char"/>
    <w:link w:val="Heading1"/>
    <w:rsid w:val="00A50039"/>
    <w:rPr>
      <w:rFonts w:ascii="Times New Roman" w:eastAsia="Times New Roman" w:hAnsi="Times New Roman"/>
      <w:sz w:val="24"/>
    </w:rPr>
  </w:style>
  <w:style w:type="paragraph" w:customStyle="1" w:styleId="ColorfulList-Accent11">
    <w:name w:val="Colorful List - Accent 11"/>
    <w:basedOn w:val="Normal"/>
    <w:uiPriority w:val="72"/>
    <w:qFormat/>
    <w:rsid w:val="00041CFF"/>
    <w:pPr>
      <w:ind w:left="720"/>
    </w:pPr>
  </w:style>
  <w:style w:type="character" w:customStyle="1" w:styleId="apple-converted-space">
    <w:name w:val="apple-converted-space"/>
    <w:basedOn w:val="DefaultParagraphFont"/>
    <w:rsid w:val="00565EB7"/>
  </w:style>
  <w:style w:type="paragraph" w:styleId="BalloonText">
    <w:name w:val="Balloon Text"/>
    <w:basedOn w:val="Normal"/>
    <w:link w:val="BalloonTextChar"/>
    <w:uiPriority w:val="99"/>
    <w:semiHidden/>
    <w:unhideWhenUsed/>
    <w:rsid w:val="00CB0824"/>
    <w:rPr>
      <w:rFonts w:ascii="Tahoma" w:hAnsi="Tahoma" w:cs="Tahoma"/>
      <w:sz w:val="16"/>
      <w:szCs w:val="16"/>
    </w:rPr>
  </w:style>
  <w:style w:type="character" w:customStyle="1" w:styleId="BalloonTextChar">
    <w:name w:val="Balloon Text Char"/>
    <w:link w:val="BalloonText"/>
    <w:uiPriority w:val="99"/>
    <w:semiHidden/>
    <w:rsid w:val="00CB0824"/>
    <w:rPr>
      <w:rFonts w:ascii="Tahoma" w:hAnsi="Tahoma" w:cs="Tahoma"/>
      <w:sz w:val="16"/>
      <w:szCs w:val="16"/>
    </w:rPr>
  </w:style>
  <w:style w:type="paragraph" w:styleId="ListParagraph">
    <w:name w:val="List Paragraph"/>
    <w:basedOn w:val="Normal"/>
    <w:uiPriority w:val="34"/>
    <w:qFormat/>
    <w:rsid w:val="0060314A"/>
    <w:pPr>
      <w:ind w:left="720"/>
      <w:contextualSpacing/>
    </w:pPr>
  </w:style>
  <w:style w:type="paragraph" w:styleId="EndnoteText">
    <w:name w:val="endnote text"/>
    <w:basedOn w:val="Normal"/>
    <w:link w:val="EndnoteTextChar"/>
    <w:uiPriority w:val="99"/>
    <w:unhideWhenUsed/>
    <w:rsid w:val="006E5708"/>
    <w:rPr>
      <w:rFonts w:eastAsiaTheme="minorHAnsi"/>
    </w:rPr>
  </w:style>
  <w:style w:type="character" w:customStyle="1" w:styleId="EndnoteTextChar">
    <w:name w:val="Endnote Text Char"/>
    <w:basedOn w:val="DefaultParagraphFont"/>
    <w:link w:val="EndnoteText"/>
    <w:uiPriority w:val="99"/>
    <w:rsid w:val="006E5708"/>
    <w:rPr>
      <w:rFonts w:ascii="Times New Roman" w:eastAsiaTheme="minorHAnsi" w:hAnsi="Times New Roman"/>
      <w:sz w:val="24"/>
      <w:szCs w:val="24"/>
    </w:rPr>
  </w:style>
  <w:style w:type="character" w:styleId="EndnoteReference">
    <w:name w:val="endnote reference"/>
    <w:basedOn w:val="DefaultParagraphFont"/>
    <w:uiPriority w:val="99"/>
    <w:unhideWhenUsed/>
    <w:rsid w:val="006E5708"/>
    <w:rPr>
      <w:vertAlign w:val="superscript"/>
    </w:rPr>
  </w:style>
  <w:style w:type="paragraph" w:styleId="PlainText">
    <w:name w:val="Plain Text"/>
    <w:basedOn w:val="Normal"/>
    <w:link w:val="PlainTextChar"/>
    <w:uiPriority w:val="99"/>
    <w:semiHidden/>
    <w:unhideWhenUsed/>
    <w:rsid w:val="00E45B8A"/>
    <w:rPr>
      <w:rFonts w:ascii="Consolas" w:hAnsi="Consolas" w:cs="Consolas"/>
      <w:sz w:val="21"/>
      <w:szCs w:val="21"/>
    </w:rPr>
  </w:style>
  <w:style w:type="character" w:customStyle="1" w:styleId="PlainTextChar">
    <w:name w:val="Plain Text Char"/>
    <w:basedOn w:val="DefaultParagraphFont"/>
    <w:link w:val="PlainText"/>
    <w:uiPriority w:val="99"/>
    <w:semiHidden/>
    <w:rsid w:val="00E45B8A"/>
    <w:rPr>
      <w:rFonts w:ascii="Consolas" w:eastAsia="Times New Roman" w:hAnsi="Consolas" w:cs="Consolas"/>
      <w:sz w:val="21"/>
      <w:szCs w:val="21"/>
    </w:rPr>
  </w:style>
  <w:style w:type="character" w:styleId="UnresolvedMention">
    <w:name w:val="Unresolved Mention"/>
    <w:basedOn w:val="DefaultParagraphFont"/>
    <w:uiPriority w:val="99"/>
    <w:rsid w:val="002A55DF"/>
    <w:rPr>
      <w:color w:val="605E5C"/>
      <w:shd w:val="clear" w:color="auto" w:fill="E1DFDD"/>
    </w:rPr>
  </w:style>
  <w:style w:type="character" w:customStyle="1" w:styleId="Heading3Char">
    <w:name w:val="Heading 3 Char"/>
    <w:basedOn w:val="DefaultParagraphFont"/>
    <w:link w:val="Heading3"/>
    <w:uiPriority w:val="9"/>
    <w:semiHidden/>
    <w:rsid w:val="002B6C10"/>
    <w:rPr>
      <w:rFonts w:asciiTheme="majorHAnsi" w:eastAsiaTheme="majorEastAsia" w:hAnsiTheme="majorHAnsi" w:cstheme="majorBidi"/>
      <w:color w:val="1F3763" w:themeColor="accent1" w:themeShade="7F"/>
      <w:sz w:val="24"/>
      <w:szCs w:val="24"/>
    </w:rPr>
  </w:style>
  <w:style w:type="character" w:customStyle="1" w:styleId="il">
    <w:name w:val="il"/>
    <w:basedOn w:val="DefaultParagraphFont"/>
    <w:rsid w:val="002C73D1"/>
  </w:style>
  <w:style w:type="paragraph" w:styleId="FootnoteText">
    <w:name w:val="footnote text"/>
    <w:basedOn w:val="Normal"/>
    <w:link w:val="FootnoteTextChar"/>
    <w:uiPriority w:val="99"/>
    <w:semiHidden/>
    <w:unhideWhenUsed/>
    <w:rsid w:val="0090626C"/>
    <w:rPr>
      <w:sz w:val="20"/>
      <w:szCs w:val="20"/>
    </w:rPr>
  </w:style>
  <w:style w:type="character" w:customStyle="1" w:styleId="FootnoteTextChar">
    <w:name w:val="Footnote Text Char"/>
    <w:basedOn w:val="DefaultParagraphFont"/>
    <w:link w:val="FootnoteText"/>
    <w:uiPriority w:val="99"/>
    <w:semiHidden/>
    <w:rsid w:val="0090626C"/>
    <w:rPr>
      <w:rFonts w:ascii="Times New Roman" w:eastAsia="Times New Roman" w:hAnsi="Times New Roman"/>
    </w:rPr>
  </w:style>
  <w:style w:type="character" w:styleId="FootnoteReference">
    <w:name w:val="footnote reference"/>
    <w:basedOn w:val="DefaultParagraphFont"/>
    <w:uiPriority w:val="99"/>
    <w:semiHidden/>
    <w:unhideWhenUsed/>
    <w:rsid w:val="00906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529">
      <w:bodyDiv w:val="1"/>
      <w:marLeft w:val="0"/>
      <w:marRight w:val="0"/>
      <w:marTop w:val="0"/>
      <w:marBottom w:val="0"/>
      <w:divBdr>
        <w:top w:val="none" w:sz="0" w:space="0" w:color="auto"/>
        <w:left w:val="none" w:sz="0" w:space="0" w:color="auto"/>
        <w:bottom w:val="none" w:sz="0" w:space="0" w:color="auto"/>
        <w:right w:val="none" w:sz="0" w:space="0" w:color="auto"/>
      </w:divBdr>
    </w:div>
    <w:div w:id="136654354">
      <w:bodyDiv w:val="1"/>
      <w:marLeft w:val="0"/>
      <w:marRight w:val="0"/>
      <w:marTop w:val="0"/>
      <w:marBottom w:val="0"/>
      <w:divBdr>
        <w:top w:val="none" w:sz="0" w:space="0" w:color="auto"/>
        <w:left w:val="none" w:sz="0" w:space="0" w:color="auto"/>
        <w:bottom w:val="none" w:sz="0" w:space="0" w:color="auto"/>
        <w:right w:val="none" w:sz="0" w:space="0" w:color="auto"/>
      </w:divBdr>
    </w:div>
    <w:div w:id="166211038">
      <w:bodyDiv w:val="1"/>
      <w:marLeft w:val="0"/>
      <w:marRight w:val="0"/>
      <w:marTop w:val="0"/>
      <w:marBottom w:val="0"/>
      <w:divBdr>
        <w:top w:val="none" w:sz="0" w:space="0" w:color="auto"/>
        <w:left w:val="none" w:sz="0" w:space="0" w:color="auto"/>
        <w:bottom w:val="none" w:sz="0" w:space="0" w:color="auto"/>
        <w:right w:val="none" w:sz="0" w:space="0" w:color="auto"/>
      </w:divBdr>
    </w:div>
    <w:div w:id="189422053">
      <w:bodyDiv w:val="1"/>
      <w:marLeft w:val="0"/>
      <w:marRight w:val="0"/>
      <w:marTop w:val="0"/>
      <w:marBottom w:val="0"/>
      <w:divBdr>
        <w:top w:val="none" w:sz="0" w:space="0" w:color="auto"/>
        <w:left w:val="none" w:sz="0" w:space="0" w:color="auto"/>
        <w:bottom w:val="none" w:sz="0" w:space="0" w:color="auto"/>
        <w:right w:val="none" w:sz="0" w:space="0" w:color="auto"/>
      </w:divBdr>
    </w:div>
    <w:div w:id="196161542">
      <w:bodyDiv w:val="1"/>
      <w:marLeft w:val="0"/>
      <w:marRight w:val="0"/>
      <w:marTop w:val="0"/>
      <w:marBottom w:val="0"/>
      <w:divBdr>
        <w:top w:val="none" w:sz="0" w:space="0" w:color="auto"/>
        <w:left w:val="none" w:sz="0" w:space="0" w:color="auto"/>
        <w:bottom w:val="none" w:sz="0" w:space="0" w:color="auto"/>
        <w:right w:val="none" w:sz="0" w:space="0" w:color="auto"/>
      </w:divBdr>
    </w:div>
    <w:div w:id="217517690">
      <w:bodyDiv w:val="1"/>
      <w:marLeft w:val="0"/>
      <w:marRight w:val="0"/>
      <w:marTop w:val="0"/>
      <w:marBottom w:val="0"/>
      <w:divBdr>
        <w:top w:val="none" w:sz="0" w:space="0" w:color="auto"/>
        <w:left w:val="none" w:sz="0" w:space="0" w:color="auto"/>
        <w:bottom w:val="none" w:sz="0" w:space="0" w:color="auto"/>
        <w:right w:val="none" w:sz="0" w:space="0" w:color="auto"/>
      </w:divBdr>
    </w:div>
    <w:div w:id="251359073">
      <w:bodyDiv w:val="1"/>
      <w:marLeft w:val="0"/>
      <w:marRight w:val="0"/>
      <w:marTop w:val="0"/>
      <w:marBottom w:val="0"/>
      <w:divBdr>
        <w:top w:val="none" w:sz="0" w:space="0" w:color="auto"/>
        <w:left w:val="none" w:sz="0" w:space="0" w:color="auto"/>
        <w:bottom w:val="none" w:sz="0" w:space="0" w:color="auto"/>
        <w:right w:val="none" w:sz="0" w:space="0" w:color="auto"/>
      </w:divBdr>
    </w:div>
    <w:div w:id="296646107">
      <w:bodyDiv w:val="1"/>
      <w:marLeft w:val="0"/>
      <w:marRight w:val="0"/>
      <w:marTop w:val="0"/>
      <w:marBottom w:val="0"/>
      <w:divBdr>
        <w:top w:val="none" w:sz="0" w:space="0" w:color="auto"/>
        <w:left w:val="none" w:sz="0" w:space="0" w:color="auto"/>
        <w:bottom w:val="none" w:sz="0" w:space="0" w:color="auto"/>
        <w:right w:val="none" w:sz="0" w:space="0" w:color="auto"/>
      </w:divBdr>
    </w:div>
    <w:div w:id="306324894">
      <w:bodyDiv w:val="1"/>
      <w:marLeft w:val="0"/>
      <w:marRight w:val="0"/>
      <w:marTop w:val="0"/>
      <w:marBottom w:val="0"/>
      <w:divBdr>
        <w:top w:val="none" w:sz="0" w:space="0" w:color="auto"/>
        <w:left w:val="none" w:sz="0" w:space="0" w:color="auto"/>
        <w:bottom w:val="none" w:sz="0" w:space="0" w:color="auto"/>
        <w:right w:val="none" w:sz="0" w:space="0" w:color="auto"/>
      </w:divBdr>
    </w:div>
    <w:div w:id="337003446">
      <w:bodyDiv w:val="1"/>
      <w:marLeft w:val="0"/>
      <w:marRight w:val="0"/>
      <w:marTop w:val="0"/>
      <w:marBottom w:val="0"/>
      <w:divBdr>
        <w:top w:val="none" w:sz="0" w:space="0" w:color="auto"/>
        <w:left w:val="none" w:sz="0" w:space="0" w:color="auto"/>
        <w:bottom w:val="none" w:sz="0" w:space="0" w:color="auto"/>
        <w:right w:val="none" w:sz="0" w:space="0" w:color="auto"/>
      </w:divBdr>
    </w:div>
    <w:div w:id="607389630">
      <w:bodyDiv w:val="1"/>
      <w:marLeft w:val="0"/>
      <w:marRight w:val="0"/>
      <w:marTop w:val="0"/>
      <w:marBottom w:val="0"/>
      <w:divBdr>
        <w:top w:val="none" w:sz="0" w:space="0" w:color="auto"/>
        <w:left w:val="none" w:sz="0" w:space="0" w:color="auto"/>
        <w:bottom w:val="none" w:sz="0" w:space="0" w:color="auto"/>
        <w:right w:val="none" w:sz="0" w:space="0" w:color="auto"/>
      </w:divBdr>
    </w:div>
    <w:div w:id="637540500">
      <w:bodyDiv w:val="1"/>
      <w:marLeft w:val="0"/>
      <w:marRight w:val="0"/>
      <w:marTop w:val="0"/>
      <w:marBottom w:val="0"/>
      <w:divBdr>
        <w:top w:val="none" w:sz="0" w:space="0" w:color="auto"/>
        <w:left w:val="none" w:sz="0" w:space="0" w:color="auto"/>
        <w:bottom w:val="none" w:sz="0" w:space="0" w:color="auto"/>
        <w:right w:val="none" w:sz="0" w:space="0" w:color="auto"/>
      </w:divBdr>
    </w:div>
    <w:div w:id="650210658">
      <w:bodyDiv w:val="1"/>
      <w:marLeft w:val="0"/>
      <w:marRight w:val="0"/>
      <w:marTop w:val="0"/>
      <w:marBottom w:val="0"/>
      <w:divBdr>
        <w:top w:val="none" w:sz="0" w:space="0" w:color="auto"/>
        <w:left w:val="none" w:sz="0" w:space="0" w:color="auto"/>
        <w:bottom w:val="none" w:sz="0" w:space="0" w:color="auto"/>
        <w:right w:val="none" w:sz="0" w:space="0" w:color="auto"/>
      </w:divBdr>
    </w:div>
    <w:div w:id="658457702">
      <w:bodyDiv w:val="1"/>
      <w:marLeft w:val="0"/>
      <w:marRight w:val="0"/>
      <w:marTop w:val="0"/>
      <w:marBottom w:val="0"/>
      <w:divBdr>
        <w:top w:val="none" w:sz="0" w:space="0" w:color="auto"/>
        <w:left w:val="none" w:sz="0" w:space="0" w:color="auto"/>
        <w:bottom w:val="none" w:sz="0" w:space="0" w:color="auto"/>
        <w:right w:val="none" w:sz="0" w:space="0" w:color="auto"/>
      </w:divBdr>
    </w:div>
    <w:div w:id="668677507">
      <w:bodyDiv w:val="1"/>
      <w:marLeft w:val="0"/>
      <w:marRight w:val="0"/>
      <w:marTop w:val="0"/>
      <w:marBottom w:val="0"/>
      <w:divBdr>
        <w:top w:val="none" w:sz="0" w:space="0" w:color="auto"/>
        <w:left w:val="none" w:sz="0" w:space="0" w:color="auto"/>
        <w:bottom w:val="none" w:sz="0" w:space="0" w:color="auto"/>
        <w:right w:val="none" w:sz="0" w:space="0" w:color="auto"/>
      </w:divBdr>
    </w:div>
    <w:div w:id="721171375">
      <w:bodyDiv w:val="1"/>
      <w:marLeft w:val="0"/>
      <w:marRight w:val="0"/>
      <w:marTop w:val="0"/>
      <w:marBottom w:val="0"/>
      <w:divBdr>
        <w:top w:val="none" w:sz="0" w:space="0" w:color="auto"/>
        <w:left w:val="none" w:sz="0" w:space="0" w:color="auto"/>
        <w:bottom w:val="none" w:sz="0" w:space="0" w:color="auto"/>
        <w:right w:val="none" w:sz="0" w:space="0" w:color="auto"/>
      </w:divBdr>
    </w:div>
    <w:div w:id="727995002">
      <w:bodyDiv w:val="1"/>
      <w:marLeft w:val="0"/>
      <w:marRight w:val="0"/>
      <w:marTop w:val="0"/>
      <w:marBottom w:val="0"/>
      <w:divBdr>
        <w:top w:val="none" w:sz="0" w:space="0" w:color="auto"/>
        <w:left w:val="none" w:sz="0" w:space="0" w:color="auto"/>
        <w:bottom w:val="none" w:sz="0" w:space="0" w:color="auto"/>
        <w:right w:val="none" w:sz="0" w:space="0" w:color="auto"/>
      </w:divBdr>
    </w:div>
    <w:div w:id="731736499">
      <w:bodyDiv w:val="1"/>
      <w:marLeft w:val="0"/>
      <w:marRight w:val="0"/>
      <w:marTop w:val="0"/>
      <w:marBottom w:val="0"/>
      <w:divBdr>
        <w:top w:val="none" w:sz="0" w:space="0" w:color="auto"/>
        <w:left w:val="none" w:sz="0" w:space="0" w:color="auto"/>
        <w:bottom w:val="none" w:sz="0" w:space="0" w:color="auto"/>
        <w:right w:val="none" w:sz="0" w:space="0" w:color="auto"/>
      </w:divBdr>
    </w:div>
    <w:div w:id="814836580">
      <w:bodyDiv w:val="1"/>
      <w:marLeft w:val="0"/>
      <w:marRight w:val="0"/>
      <w:marTop w:val="0"/>
      <w:marBottom w:val="0"/>
      <w:divBdr>
        <w:top w:val="none" w:sz="0" w:space="0" w:color="auto"/>
        <w:left w:val="none" w:sz="0" w:space="0" w:color="auto"/>
        <w:bottom w:val="none" w:sz="0" w:space="0" w:color="auto"/>
        <w:right w:val="none" w:sz="0" w:space="0" w:color="auto"/>
      </w:divBdr>
    </w:div>
    <w:div w:id="819032078">
      <w:bodyDiv w:val="1"/>
      <w:marLeft w:val="0"/>
      <w:marRight w:val="0"/>
      <w:marTop w:val="0"/>
      <w:marBottom w:val="0"/>
      <w:divBdr>
        <w:top w:val="none" w:sz="0" w:space="0" w:color="auto"/>
        <w:left w:val="none" w:sz="0" w:space="0" w:color="auto"/>
        <w:bottom w:val="none" w:sz="0" w:space="0" w:color="auto"/>
        <w:right w:val="none" w:sz="0" w:space="0" w:color="auto"/>
      </w:divBdr>
    </w:div>
    <w:div w:id="820123857">
      <w:bodyDiv w:val="1"/>
      <w:marLeft w:val="0"/>
      <w:marRight w:val="0"/>
      <w:marTop w:val="0"/>
      <w:marBottom w:val="0"/>
      <w:divBdr>
        <w:top w:val="none" w:sz="0" w:space="0" w:color="auto"/>
        <w:left w:val="none" w:sz="0" w:space="0" w:color="auto"/>
        <w:bottom w:val="none" w:sz="0" w:space="0" w:color="auto"/>
        <w:right w:val="none" w:sz="0" w:space="0" w:color="auto"/>
      </w:divBdr>
    </w:div>
    <w:div w:id="822742744">
      <w:bodyDiv w:val="1"/>
      <w:marLeft w:val="0"/>
      <w:marRight w:val="0"/>
      <w:marTop w:val="0"/>
      <w:marBottom w:val="0"/>
      <w:divBdr>
        <w:top w:val="none" w:sz="0" w:space="0" w:color="auto"/>
        <w:left w:val="none" w:sz="0" w:space="0" w:color="auto"/>
        <w:bottom w:val="none" w:sz="0" w:space="0" w:color="auto"/>
        <w:right w:val="none" w:sz="0" w:space="0" w:color="auto"/>
      </w:divBdr>
    </w:div>
    <w:div w:id="993535071">
      <w:bodyDiv w:val="1"/>
      <w:marLeft w:val="0"/>
      <w:marRight w:val="0"/>
      <w:marTop w:val="0"/>
      <w:marBottom w:val="0"/>
      <w:divBdr>
        <w:top w:val="none" w:sz="0" w:space="0" w:color="auto"/>
        <w:left w:val="none" w:sz="0" w:space="0" w:color="auto"/>
        <w:bottom w:val="none" w:sz="0" w:space="0" w:color="auto"/>
        <w:right w:val="none" w:sz="0" w:space="0" w:color="auto"/>
      </w:divBdr>
    </w:div>
    <w:div w:id="1040057693">
      <w:bodyDiv w:val="1"/>
      <w:marLeft w:val="0"/>
      <w:marRight w:val="0"/>
      <w:marTop w:val="0"/>
      <w:marBottom w:val="0"/>
      <w:divBdr>
        <w:top w:val="none" w:sz="0" w:space="0" w:color="auto"/>
        <w:left w:val="none" w:sz="0" w:space="0" w:color="auto"/>
        <w:bottom w:val="none" w:sz="0" w:space="0" w:color="auto"/>
        <w:right w:val="none" w:sz="0" w:space="0" w:color="auto"/>
      </w:divBdr>
    </w:div>
    <w:div w:id="1063069230">
      <w:bodyDiv w:val="1"/>
      <w:marLeft w:val="0"/>
      <w:marRight w:val="0"/>
      <w:marTop w:val="0"/>
      <w:marBottom w:val="0"/>
      <w:divBdr>
        <w:top w:val="none" w:sz="0" w:space="0" w:color="auto"/>
        <w:left w:val="none" w:sz="0" w:space="0" w:color="auto"/>
        <w:bottom w:val="none" w:sz="0" w:space="0" w:color="auto"/>
        <w:right w:val="none" w:sz="0" w:space="0" w:color="auto"/>
      </w:divBdr>
    </w:div>
    <w:div w:id="1303341504">
      <w:bodyDiv w:val="1"/>
      <w:marLeft w:val="0"/>
      <w:marRight w:val="0"/>
      <w:marTop w:val="0"/>
      <w:marBottom w:val="0"/>
      <w:divBdr>
        <w:top w:val="none" w:sz="0" w:space="0" w:color="auto"/>
        <w:left w:val="none" w:sz="0" w:space="0" w:color="auto"/>
        <w:bottom w:val="none" w:sz="0" w:space="0" w:color="auto"/>
        <w:right w:val="none" w:sz="0" w:space="0" w:color="auto"/>
      </w:divBdr>
    </w:div>
    <w:div w:id="1324310991">
      <w:bodyDiv w:val="1"/>
      <w:marLeft w:val="0"/>
      <w:marRight w:val="0"/>
      <w:marTop w:val="0"/>
      <w:marBottom w:val="0"/>
      <w:divBdr>
        <w:top w:val="none" w:sz="0" w:space="0" w:color="auto"/>
        <w:left w:val="none" w:sz="0" w:space="0" w:color="auto"/>
        <w:bottom w:val="none" w:sz="0" w:space="0" w:color="auto"/>
        <w:right w:val="none" w:sz="0" w:space="0" w:color="auto"/>
      </w:divBdr>
    </w:div>
    <w:div w:id="1393969909">
      <w:bodyDiv w:val="1"/>
      <w:marLeft w:val="0"/>
      <w:marRight w:val="0"/>
      <w:marTop w:val="0"/>
      <w:marBottom w:val="0"/>
      <w:divBdr>
        <w:top w:val="none" w:sz="0" w:space="0" w:color="auto"/>
        <w:left w:val="none" w:sz="0" w:space="0" w:color="auto"/>
        <w:bottom w:val="none" w:sz="0" w:space="0" w:color="auto"/>
        <w:right w:val="none" w:sz="0" w:space="0" w:color="auto"/>
      </w:divBdr>
    </w:div>
    <w:div w:id="1480539007">
      <w:bodyDiv w:val="1"/>
      <w:marLeft w:val="0"/>
      <w:marRight w:val="0"/>
      <w:marTop w:val="0"/>
      <w:marBottom w:val="0"/>
      <w:divBdr>
        <w:top w:val="none" w:sz="0" w:space="0" w:color="auto"/>
        <w:left w:val="none" w:sz="0" w:space="0" w:color="auto"/>
        <w:bottom w:val="none" w:sz="0" w:space="0" w:color="auto"/>
        <w:right w:val="none" w:sz="0" w:space="0" w:color="auto"/>
      </w:divBdr>
    </w:div>
    <w:div w:id="1484927193">
      <w:bodyDiv w:val="1"/>
      <w:marLeft w:val="0"/>
      <w:marRight w:val="0"/>
      <w:marTop w:val="0"/>
      <w:marBottom w:val="0"/>
      <w:divBdr>
        <w:top w:val="none" w:sz="0" w:space="0" w:color="auto"/>
        <w:left w:val="none" w:sz="0" w:space="0" w:color="auto"/>
        <w:bottom w:val="none" w:sz="0" w:space="0" w:color="auto"/>
        <w:right w:val="none" w:sz="0" w:space="0" w:color="auto"/>
      </w:divBdr>
    </w:div>
    <w:div w:id="1518422310">
      <w:bodyDiv w:val="1"/>
      <w:marLeft w:val="0"/>
      <w:marRight w:val="0"/>
      <w:marTop w:val="0"/>
      <w:marBottom w:val="0"/>
      <w:divBdr>
        <w:top w:val="none" w:sz="0" w:space="0" w:color="auto"/>
        <w:left w:val="none" w:sz="0" w:space="0" w:color="auto"/>
        <w:bottom w:val="none" w:sz="0" w:space="0" w:color="auto"/>
        <w:right w:val="none" w:sz="0" w:space="0" w:color="auto"/>
      </w:divBdr>
    </w:div>
    <w:div w:id="1577940261">
      <w:bodyDiv w:val="1"/>
      <w:marLeft w:val="0"/>
      <w:marRight w:val="0"/>
      <w:marTop w:val="0"/>
      <w:marBottom w:val="0"/>
      <w:divBdr>
        <w:top w:val="none" w:sz="0" w:space="0" w:color="auto"/>
        <w:left w:val="none" w:sz="0" w:space="0" w:color="auto"/>
        <w:bottom w:val="none" w:sz="0" w:space="0" w:color="auto"/>
        <w:right w:val="none" w:sz="0" w:space="0" w:color="auto"/>
      </w:divBdr>
    </w:div>
    <w:div w:id="1707826690">
      <w:bodyDiv w:val="1"/>
      <w:marLeft w:val="0"/>
      <w:marRight w:val="0"/>
      <w:marTop w:val="0"/>
      <w:marBottom w:val="0"/>
      <w:divBdr>
        <w:top w:val="none" w:sz="0" w:space="0" w:color="auto"/>
        <w:left w:val="none" w:sz="0" w:space="0" w:color="auto"/>
        <w:bottom w:val="none" w:sz="0" w:space="0" w:color="auto"/>
        <w:right w:val="none" w:sz="0" w:space="0" w:color="auto"/>
      </w:divBdr>
    </w:div>
    <w:div w:id="1721251160">
      <w:bodyDiv w:val="1"/>
      <w:marLeft w:val="0"/>
      <w:marRight w:val="0"/>
      <w:marTop w:val="0"/>
      <w:marBottom w:val="0"/>
      <w:divBdr>
        <w:top w:val="none" w:sz="0" w:space="0" w:color="auto"/>
        <w:left w:val="none" w:sz="0" w:space="0" w:color="auto"/>
        <w:bottom w:val="none" w:sz="0" w:space="0" w:color="auto"/>
        <w:right w:val="none" w:sz="0" w:space="0" w:color="auto"/>
      </w:divBdr>
    </w:div>
    <w:div w:id="1740903906">
      <w:bodyDiv w:val="1"/>
      <w:marLeft w:val="0"/>
      <w:marRight w:val="0"/>
      <w:marTop w:val="0"/>
      <w:marBottom w:val="0"/>
      <w:divBdr>
        <w:top w:val="none" w:sz="0" w:space="0" w:color="auto"/>
        <w:left w:val="none" w:sz="0" w:space="0" w:color="auto"/>
        <w:bottom w:val="none" w:sz="0" w:space="0" w:color="auto"/>
        <w:right w:val="none" w:sz="0" w:space="0" w:color="auto"/>
      </w:divBdr>
    </w:div>
    <w:div w:id="1760327506">
      <w:bodyDiv w:val="1"/>
      <w:marLeft w:val="0"/>
      <w:marRight w:val="0"/>
      <w:marTop w:val="0"/>
      <w:marBottom w:val="0"/>
      <w:divBdr>
        <w:top w:val="none" w:sz="0" w:space="0" w:color="auto"/>
        <w:left w:val="none" w:sz="0" w:space="0" w:color="auto"/>
        <w:bottom w:val="none" w:sz="0" w:space="0" w:color="auto"/>
        <w:right w:val="none" w:sz="0" w:space="0" w:color="auto"/>
      </w:divBdr>
    </w:div>
    <w:div w:id="1853958022">
      <w:bodyDiv w:val="1"/>
      <w:marLeft w:val="0"/>
      <w:marRight w:val="0"/>
      <w:marTop w:val="0"/>
      <w:marBottom w:val="0"/>
      <w:divBdr>
        <w:top w:val="none" w:sz="0" w:space="0" w:color="auto"/>
        <w:left w:val="none" w:sz="0" w:space="0" w:color="auto"/>
        <w:bottom w:val="none" w:sz="0" w:space="0" w:color="auto"/>
        <w:right w:val="none" w:sz="0" w:space="0" w:color="auto"/>
      </w:divBdr>
    </w:div>
    <w:div w:id="1876892650">
      <w:bodyDiv w:val="1"/>
      <w:marLeft w:val="0"/>
      <w:marRight w:val="0"/>
      <w:marTop w:val="0"/>
      <w:marBottom w:val="0"/>
      <w:divBdr>
        <w:top w:val="none" w:sz="0" w:space="0" w:color="auto"/>
        <w:left w:val="none" w:sz="0" w:space="0" w:color="auto"/>
        <w:bottom w:val="none" w:sz="0" w:space="0" w:color="auto"/>
        <w:right w:val="none" w:sz="0" w:space="0" w:color="auto"/>
      </w:divBdr>
    </w:div>
    <w:div w:id="1940481375">
      <w:bodyDiv w:val="1"/>
      <w:marLeft w:val="0"/>
      <w:marRight w:val="0"/>
      <w:marTop w:val="0"/>
      <w:marBottom w:val="0"/>
      <w:divBdr>
        <w:top w:val="none" w:sz="0" w:space="0" w:color="auto"/>
        <w:left w:val="none" w:sz="0" w:space="0" w:color="auto"/>
        <w:bottom w:val="none" w:sz="0" w:space="0" w:color="auto"/>
        <w:right w:val="none" w:sz="0" w:space="0" w:color="auto"/>
      </w:divBdr>
    </w:div>
    <w:div w:id="1976451625">
      <w:bodyDiv w:val="1"/>
      <w:marLeft w:val="0"/>
      <w:marRight w:val="0"/>
      <w:marTop w:val="0"/>
      <w:marBottom w:val="0"/>
      <w:divBdr>
        <w:top w:val="none" w:sz="0" w:space="0" w:color="auto"/>
        <w:left w:val="none" w:sz="0" w:space="0" w:color="auto"/>
        <w:bottom w:val="none" w:sz="0" w:space="0" w:color="auto"/>
        <w:right w:val="none" w:sz="0" w:space="0" w:color="auto"/>
      </w:divBdr>
    </w:div>
    <w:div w:id="1989162384">
      <w:bodyDiv w:val="1"/>
      <w:marLeft w:val="0"/>
      <w:marRight w:val="0"/>
      <w:marTop w:val="0"/>
      <w:marBottom w:val="0"/>
      <w:divBdr>
        <w:top w:val="none" w:sz="0" w:space="0" w:color="auto"/>
        <w:left w:val="none" w:sz="0" w:space="0" w:color="auto"/>
        <w:bottom w:val="none" w:sz="0" w:space="0" w:color="auto"/>
        <w:right w:val="none" w:sz="0" w:space="0" w:color="auto"/>
      </w:divBdr>
    </w:div>
    <w:div w:id="2011331672">
      <w:bodyDiv w:val="1"/>
      <w:marLeft w:val="0"/>
      <w:marRight w:val="0"/>
      <w:marTop w:val="0"/>
      <w:marBottom w:val="0"/>
      <w:divBdr>
        <w:top w:val="none" w:sz="0" w:space="0" w:color="auto"/>
        <w:left w:val="none" w:sz="0" w:space="0" w:color="auto"/>
        <w:bottom w:val="none" w:sz="0" w:space="0" w:color="auto"/>
        <w:right w:val="none" w:sz="0" w:space="0" w:color="auto"/>
      </w:divBdr>
    </w:div>
    <w:div w:id="2095469485">
      <w:bodyDiv w:val="1"/>
      <w:marLeft w:val="0"/>
      <w:marRight w:val="0"/>
      <w:marTop w:val="0"/>
      <w:marBottom w:val="0"/>
      <w:divBdr>
        <w:top w:val="none" w:sz="0" w:space="0" w:color="auto"/>
        <w:left w:val="none" w:sz="0" w:space="0" w:color="auto"/>
        <w:bottom w:val="none" w:sz="0" w:space="0" w:color="auto"/>
        <w:right w:val="none" w:sz="0" w:space="0" w:color="auto"/>
      </w:divBdr>
    </w:div>
    <w:div w:id="2129933922">
      <w:bodyDiv w:val="1"/>
      <w:marLeft w:val="0"/>
      <w:marRight w:val="0"/>
      <w:marTop w:val="0"/>
      <w:marBottom w:val="0"/>
      <w:divBdr>
        <w:top w:val="none" w:sz="0" w:space="0" w:color="auto"/>
        <w:left w:val="none" w:sz="0" w:space="0" w:color="auto"/>
        <w:bottom w:val="none" w:sz="0" w:space="0" w:color="auto"/>
        <w:right w:val="none" w:sz="0" w:space="0" w:color="auto"/>
      </w:divBdr>
    </w:div>
    <w:div w:id="2134396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adim@pennmedicine.upenn.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2894-9F40-AF48-8845-C679D6E3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3785</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25315</CharactersWithSpaces>
  <SharedDoc>false</SharedDoc>
  <HLinks>
    <vt:vector size="6" baseType="variant">
      <vt:variant>
        <vt:i4>8323143</vt:i4>
      </vt:variant>
      <vt:variant>
        <vt:i4>7928</vt:i4>
      </vt:variant>
      <vt:variant>
        <vt:i4>1025</vt:i4>
      </vt:variant>
      <vt:variant>
        <vt:i4>1</vt:i4>
      </vt:variant>
      <vt:variant>
        <vt:lpwstr>2-20-12 12-49-19 PM (1)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Vesselina Panteva</dc:creator>
  <cp:keywords/>
  <cp:lastModifiedBy>Mahmud, Nadim</cp:lastModifiedBy>
  <cp:revision>2</cp:revision>
  <cp:lastPrinted>2025-07-10T03:59:00Z</cp:lastPrinted>
  <dcterms:created xsi:type="dcterms:W3CDTF">2025-07-10T04:01:00Z</dcterms:created>
  <dcterms:modified xsi:type="dcterms:W3CDTF">2025-07-10T04:01:00Z</dcterms:modified>
</cp:coreProperties>
</file>